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865D71" w14:textId="5FA7C787" w:rsidR="00454863" w:rsidRPr="00FB627D" w:rsidRDefault="00D96BF9" w:rsidP="00D96BF9">
      <w:pPr>
        <w:spacing w:after="160" w:line="259" w:lineRule="auto"/>
        <w:jc w:val="right"/>
        <w:rPr>
          <w:rFonts w:ascii="Arial" w:eastAsia="Calibri" w:hAnsi="Arial" w:cs="Arial"/>
          <w:b/>
          <w:u w:val="single"/>
          <w:lang w:eastAsia="en-US"/>
        </w:rPr>
      </w:pPr>
      <w:r w:rsidRPr="00FB627D">
        <w:rPr>
          <w:rFonts w:ascii="Arial" w:eastAsia="Calibri" w:hAnsi="Arial" w:cs="Arial"/>
          <w:b/>
          <w:u w:val="single"/>
          <w:lang w:eastAsia="en-US"/>
        </w:rPr>
        <w:t>Appendix</w:t>
      </w:r>
      <w:r w:rsidR="00454EC6" w:rsidRPr="00FB627D">
        <w:rPr>
          <w:rFonts w:ascii="Arial" w:eastAsia="Calibri" w:hAnsi="Arial" w:cs="Arial"/>
          <w:b/>
          <w:u w:val="single"/>
          <w:lang w:eastAsia="en-US"/>
        </w:rPr>
        <w:t xml:space="preserve"> A</w:t>
      </w:r>
    </w:p>
    <w:p w14:paraId="333F7123" w14:textId="4648175F" w:rsidR="00D96BF9" w:rsidRPr="00FB627D" w:rsidRDefault="00454EC6" w:rsidP="00454EC6">
      <w:pPr>
        <w:spacing w:after="160" w:line="259" w:lineRule="auto"/>
        <w:rPr>
          <w:rFonts w:ascii="Arial" w:eastAsia="Calibri" w:hAnsi="Arial" w:cs="Arial"/>
          <w:b/>
          <w:sz w:val="28"/>
          <w:szCs w:val="28"/>
          <w:lang w:eastAsia="en-US"/>
        </w:rPr>
      </w:pPr>
      <w:r w:rsidRPr="00FB627D">
        <w:rPr>
          <w:rFonts w:ascii="Arial" w:eastAsia="Calibri" w:hAnsi="Arial" w:cs="Arial"/>
          <w:b/>
          <w:sz w:val="28"/>
          <w:szCs w:val="28"/>
          <w:lang w:eastAsia="en-US"/>
        </w:rPr>
        <w:t xml:space="preserve">Summary of </w:t>
      </w:r>
      <w:r w:rsidR="00B664D4">
        <w:rPr>
          <w:rFonts w:ascii="Arial" w:eastAsia="Calibri" w:hAnsi="Arial" w:cs="Arial"/>
          <w:b/>
          <w:sz w:val="28"/>
          <w:szCs w:val="28"/>
          <w:lang w:eastAsia="en-US"/>
        </w:rPr>
        <w:t>Improvement A</w:t>
      </w:r>
      <w:r w:rsidRPr="00FB627D">
        <w:rPr>
          <w:rFonts w:ascii="Arial" w:eastAsia="Calibri" w:hAnsi="Arial" w:cs="Arial"/>
          <w:b/>
          <w:sz w:val="28"/>
          <w:szCs w:val="28"/>
          <w:lang w:eastAsia="en-US"/>
        </w:rPr>
        <w:t>ctivity</w:t>
      </w:r>
    </w:p>
    <w:p w14:paraId="46C6E7CD" w14:textId="323BCE96" w:rsidR="00454863" w:rsidRPr="00FB627D" w:rsidRDefault="00454863" w:rsidP="00FB627D">
      <w:pPr>
        <w:pStyle w:val="NoSpacing"/>
        <w:numPr>
          <w:ilvl w:val="0"/>
          <w:numId w:val="28"/>
        </w:numPr>
        <w:rPr>
          <w:rFonts w:ascii="Arial" w:eastAsia="Calibri" w:hAnsi="Arial" w:cs="Arial"/>
          <w:b/>
          <w:u w:val="single"/>
          <w:lang w:eastAsia="en-US"/>
        </w:rPr>
      </w:pPr>
      <w:r w:rsidRPr="00FB627D">
        <w:rPr>
          <w:rFonts w:ascii="Arial" w:hAnsi="Arial" w:cs="Arial"/>
          <w:szCs w:val="22"/>
        </w:rPr>
        <w:t xml:space="preserve">This progress report draws together a summary of significant improvement activity led by other LGA Board’s since this was last reported in </w:t>
      </w:r>
      <w:r w:rsidR="00160348" w:rsidRPr="00FB627D">
        <w:rPr>
          <w:rFonts w:ascii="Arial" w:hAnsi="Arial" w:cs="Arial"/>
          <w:szCs w:val="22"/>
        </w:rPr>
        <w:t>January</w:t>
      </w:r>
      <w:r w:rsidRPr="00FB627D">
        <w:rPr>
          <w:rFonts w:ascii="Arial" w:hAnsi="Arial" w:cs="Arial"/>
          <w:szCs w:val="22"/>
        </w:rPr>
        <w:t>:</w:t>
      </w:r>
    </w:p>
    <w:p w14:paraId="29BB9F87" w14:textId="77777777" w:rsidR="00454863" w:rsidRPr="00FB627D" w:rsidRDefault="00454863" w:rsidP="0008033C">
      <w:pPr>
        <w:pStyle w:val="NoSpacing"/>
        <w:rPr>
          <w:rFonts w:ascii="Arial" w:eastAsia="Calibri" w:hAnsi="Arial" w:cs="Arial"/>
          <w:b/>
          <w:u w:val="single"/>
          <w:lang w:eastAsia="en-US"/>
        </w:rPr>
      </w:pPr>
    </w:p>
    <w:p w14:paraId="51E6B276" w14:textId="66C704E3" w:rsidR="0008033C" w:rsidRPr="00FB627D" w:rsidRDefault="0008033C" w:rsidP="0008033C">
      <w:pPr>
        <w:pStyle w:val="NoSpacing"/>
        <w:rPr>
          <w:rFonts w:ascii="Arial" w:eastAsia="Calibri" w:hAnsi="Arial" w:cs="Arial"/>
          <w:b/>
          <w:lang w:eastAsia="en-US"/>
        </w:rPr>
      </w:pPr>
      <w:r w:rsidRPr="00FB627D">
        <w:rPr>
          <w:rFonts w:ascii="Arial" w:eastAsia="Calibri" w:hAnsi="Arial" w:cs="Arial"/>
          <w:b/>
          <w:lang w:eastAsia="en-US"/>
        </w:rPr>
        <w:t>City Regions and People and Places Board</w:t>
      </w:r>
      <w:r w:rsidR="00D15C56" w:rsidRPr="00FB627D">
        <w:rPr>
          <w:rFonts w:ascii="Arial" w:eastAsia="Calibri" w:hAnsi="Arial" w:cs="Arial"/>
          <w:b/>
          <w:lang w:eastAsia="en-US"/>
        </w:rPr>
        <w:t>s</w:t>
      </w:r>
    </w:p>
    <w:p w14:paraId="4B2BDCE0" w14:textId="002C2366" w:rsidR="0008033C" w:rsidRPr="00FB627D" w:rsidRDefault="0008033C" w:rsidP="00291457">
      <w:pPr>
        <w:contextualSpacing/>
        <w:rPr>
          <w:rFonts w:ascii="Arial" w:eastAsia="Calibri" w:hAnsi="Arial" w:cs="Arial"/>
          <w:b/>
          <w:color w:val="FF0000"/>
          <w:lang w:eastAsia="en-US"/>
        </w:rPr>
      </w:pPr>
    </w:p>
    <w:p w14:paraId="0A974D77" w14:textId="1A501292" w:rsidR="008E2044" w:rsidRPr="00FB627D" w:rsidRDefault="008E2044" w:rsidP="00FB627D">
      <w:pPr>
        <w:pStyle w:val="ListParagraph"/>
        <w:numPr>
          <w:ilvl w:val="0"/>
          <w:numId w:val="28"/>
        </w:numPr>
        <w:rPr>
          <w:rFonts w:ascii="Arial" w:hAnsi="Arial" w:cs="Arial"/>
        </w:rPr>
      </w:pPr>
      <w:r w:rsidRPr="00FB627D">
        <w:rPr>
          <w:rFonts w:ascii="Arial" w:hAnsi="Arial" w:cs="Arial"/>
        </w:rPr>
        <w:t>The LGA’s work on devolution is led by the City Regions and People and Places Boards. Under their direction, the LGA has sought to support councils with their devolution ambitions, with activity primarily focussing on: negotiating deals, moving from a deal to implementation and sharing knowledge and best practice. Recent activity has included:</w:t>
      </w:r>
    </w:p>
    <w:p w14:paraId="69838EAB" w14:textId="77777777" w:rsidR="008E2044" w:rsidRPr="00FB627D" w:rsidRDefault="008E2044" w:rsidP="008E2044">
      <w:pPr>
        <w:pStyle w:val="ListParagraph"/>
        <w:ind w:left="360"/>
        <w:rPr>
          <w:rFonts w:ascii="Arial" w:hAnsi="Arial" w:cs="Arial"/>
        </w:rPr>
      </w:pPr>
    </w:p>
    <w:p w14:paraId="19789413" w14:textId="50B10579" w:rsidR="008E2044" w:rsidRPr="00FB627D" w:rsidRDefault="00454EC6" w:rsidP="00FB627D">
      <w:pPr>
        <w:pStyle w:val="ListParagraph"/>
        <w:numPr>
          <w:ilvl w:val="1"/>
          <w:numId w:val="28"/>
        </w:numPr>
        <w:spacing w:after="160" w:line="252" w:lineRule="auto"/>
        <w:contextualSpacing/>
        <w:rPr>
          <w:rFonts w:ascii="Arial" w:hAnsi="Arial" w:cs="Arial"/>
        </w:rPr>
      </w:pPr>
      <w:r w:rsidRPr="00FB627D">
        <w:rPr>
          <w:rFonts w:ascii="Arial" w:hAnsi="Arial" w:cs="Arial"/>
        </w:rPr>
        <w:t>C</w:t>
      </w:r>
      <w:r w:rsidR="008E2044" w:rsidRPr="00FB627D">
        <w:rPr>
          <w:rFonts w:ascii="Arial" w:hAnsi="Arial" w:cs="Arial"/>
        </w:rPr>
        <w:t>ontinuing to add to the suite of publications and online tools related to devolution:</w:t>
      </w:r>
    </w:p>
    <w:p w14:paraId="176E70F3" w14:textId="77777777" w:rsidR="00D15C56" w:rsidRPr="00FB627D" w:rsidRDefault="00D15C56" w:rsidP="00454EC6">
      <w:pPr>
        <w:pStyle w:val="ListParagraph"/>
        <w:spacing w:after="160" w:line="252" w:lineRule="auto"/>
        <w:ind w:left="360"/>
        <w:contextualSpacing/>
        <w:rPr>
          <w:rFonts w:ascii="Arial" w:hAnsi="Arial" w:cs="Arial"/>
        </w:rPr>
      </w:pPr>
    </w:p>
    <w:p w14:paraId="41D55F5D" w14:textId="7103C155" w:rsidR="008E2044" w:rsidRPr="00FB627D" w:rsidRDefault="00454EC6" w:rsidP="00FB627D">
      <w:pPr>
        <w:pStyle w:val="ListParagraph"/>
        <w:numPr>
          <w:ilvl w:val="2"/>
          <w:numId w:val="28"/>
        </w:numPr>
        <w:spacing w:after="160" w:line="252" w:lineRule="auto"/>
        <w:ind w:left="1418" w:hanging="698"/>
        <w:contextualSpacing/>
        <w:rPr>
          <w:rFonts w:ascii="Arial" w:hAnsi="Arial" w:cs="Arial"/>
        </w:rPr>
      </w:pPr>
      <w:r w:rsidRPr="00FB627D">
        <w:rPr>
          <w:rFonts w:ascii="Arial" w:hAnsi="Arial" w:cs="Arial"/>
        </w:rPr>
        <w:t>A</w:t>
      </w:r>
      <w:r w:rsidR="008E2044" w:rsidRPr="00FB627D">
        <w:rPr>
          <w:rFonts w:ascii="Arial" w:hAnsi="Arial" w:cs="Arial"/>
        </w:rPr>
        <w:t xml:space="preserve"> workshop in support of the launch of an LGA commissioned ESPRESSO (Estimated and Simplified Public Revenue and Expenditure Standardised Statistical Output) tool by New Economy, which allows local authorities to develop an understanding of total tax and spend within a given area in support of devolution and public service reform initiatives</w:t>
      </w:r>
      <w:r w:rsidRPr="00FB627D">
        <w:rPr>
          <w:rFonts w:ascii="Arial" w:hAnsi="Arial" w:cs="Arial"/>
        </w:rPr>
        <w:t>.</w:t>
      </w:r>
      <w:r w:rsidR="008E2044" w:rsidRPr="00FB627D">
        <w:rPr>
          <w:rFonts w:ascii="Arial" w:hAnsi="Arial" w:cs="Arial"/>
        </w:rPr>
        <w:t xml:space="preserve"> </w:t>
      </w:r>
    </w:p>
    <w:p w14:paraId="31B8510C" w14:textId="77777777" w:rsidR="008E2044" w:rsidRPr="00FB627D" w:rsidRDefault="008E2044" w:rsidP="00FB627D">
      <w:pPr>
        <w:pStyle w:val="ListParagraph"/>
        <w:ind w:left="1418" w:hanging="698"/>
        <w:rPr>
          <w:rFonts w:ascii="Arial" w:hAnsi="Arial" w:cs="Arial"/>
        </w:rPr>
      </w:pPr>
    </w:p>
    <w:p w14:paraId="070A002C" w14:textId="381CD2D0" w:rsidR="008E2044" w:rsidRPr="00FB627D" w:rsidRDefault="00454EC6" w:rsidP="00FB627D">
      <w:pPr>
        <w:pStyle w:val="ListParagraph"/>
        <w:numPr>
          <w:ilvl w:val="2"/>
          <w:numId w:val="28"/>
        </w:numPr>
        <w:spacing w:after="160" w:line="252" w:lineRule="auto"/>
        <w:ind w:left="1418" w:hanging="698"/>
        <w:contextualSpacing/>
        <w:rPr>
          <w:rFonts w:ascii="Arial" w:hAnsi="Arial" w:cs="Arial"/>
        </w:rPr>
      </w:pPr>
      <w:r w:rsidRPr="00FB627D">
        <w:rPr>
          <w:rFonts w:ascii="Arial" w:hAnsi="Arial" w:cs="Arial"/>
        </w:rPr>
        <w:t>T</w:t>
      </w:r>
      <w:r w:rsidR="008E2044" w:rsidRPr="00FB627D">
        <w:rPr>
          <w:rFonts w:ascii="Arial" w:hAnsi="Arial" w:cs="Arial"/>
        </w:rPr>
        <w:t xml:space="preserve">he publication of a guide – </w:t>
      </w:r>
      <w:r w:rsidR="008E2044" w:rsidRPr="00FB627D">
        <w:rPr>
          <w:rFonts w:ascii="Arial" w:hAnsi="Arial" w:cs="Arial"/>
          <w:i/>
          <w:iCs/>
        </w:rPr>
        <w:t xml:space="preserve">Don’t be left in the Dark, Devolution and Mayors – </w:t>
      </w:r>
      <w:r w:rsidR="008E2044" w:rsidRPr="00FB627D">
        <w:rPr>
          <w:rFonts w:ascii="Arial" w:hAnsi="Arial" w:cs="Arial"/>
        </w:rPr>
        <w:t xml:space="preserve">to support councils and the public in advance of mayoral elections this </w:t>
      </w:r>
      <w:r w:rsidR="00D15C56" w:rsidRPr="00FB627D">
        <w:rPr>
          <w:rFonts w:ascii="Arial" w:hAnsi="Arial" w:cs="Arial"/>
        </w:rPr>
        <w:t>M</w:t>
      </w:r>
      <w:r w:rsidR="008E2044" w:rsidRPr="00FB627D">
        <w:rPr>
          <w:rFonts w:ascii="Arial" w:hAnsi="Arial" w:cs="Arial"/>
        </w:rPr>
        <w:t>ay in six devolution deal areas</w:t>
      </w:r>
      <w:r w:rsidRPr="00FB627D">
        <w:rPr>
          <w:rFonts w:ascii="Arial" w:hAnsi="Arial" w:cs="Arial"/>
        </w:rPr>
        <w:t>.</w:t>
      </w:r>
    </w:p>
    <w:p w14:paraId="25B53E0D" w14:textId="77777777" w:rsidR="008E2044" w:rsidRPr="00FB627D" w:rsidRDefault="008E2044" w:rsidP="00454EC6">
      <w:pPr>
        <w:pStyle w:val="ListParagraph"/>
        <w:rPr>
          <w:rFonts w:ascii="Arial" w:hAnsi="Arial" w:cs="Arial"/>
        </w:rPr>
      </w:pPr>
    </w:p>
    <w:p w14:paraId="351A36B0" w14:textId="5467D274" w:rsidR="008E2044" w:rsidRPr="00FB627D" w:rsidRDefault="00454EC6" w:rsidP="00FB627D">
      <w:pPr>
        <w:pStyle w:val="ListParagraph"/>
        <w:numPr>
          <w:ilvl w:val="1"/>
          <w:numId w:val="28"/>
        </w:numPr>
        <w:spacing w:after="160" w:line="252" w:lineRule="auto"/>
        <w:contextualSpacing/>
        <w:rPr>
          <w:rFonts w:ascii="Arial" w:hAnsi="Arial" w:cs="Arial"/>
        </w:rPr>
      </w:pPr>
      <w:r w:rsidRPr="00FB627D">
        <w:rPr>
          <w:rFonts w:ascii="Arial" w:hAnsi="Arial" w:cs="Arial"/>
        </w:rPr>
        <w:t>W</w:t>
      </w:r>
      <w:r w:rsidR="008E2044" w:rsidRPr="00FB627D">
        <w:rPr>
          <w:rFonts w:ascii="Arial" w:hAnsi="Arial" w:cs="Arial"/>
        </w:rPr>
        <w:t>orking with Universities UK and the Higher Education Funding Council for England (HEFCE) to:</w:t>
      </w:r>
    </w:p>
    <w:p w14:paraId="49B0E018" w14:textId="77777777" w:rsidR="008E2044" w:rsidRPr="00FB627D" w:rsidRDefault="008E2044" w:rsidP="00454EC6">
      <w:pPr>
        <w:pStyle w:val="ListParagraph"/>
        <w:ind w:left="360"/>
        <w:rPr>
          <w:rFonts w:ascii="Arial" w:hAnsi="Arial" w:cs="Arial"/>
        </w:rPr>
      </w:pPr>
    </w:p>
    <w:p w14:paraId="2191D09D" w14:textId="6BC99A69" w:rsidR="008E2044" w:rsidRPr="00FB627D" w:rsidRDefault="00454EC6" w:rsidP="00FB627D">
      <w:pPr>
        <w:pStyle w:val="ListParagraph"/>
        <w:numPr>
          <w:ilvl w:val="2"/>
          <w:numId w:val="28"/>
        </w:numPr>
        <w:spacing w:after="160" w:line="252" w:lineRule="auto"/>
        <w:contextualSpacing/>
        <w:rPr>
          <w:rFonts w:ascii="Arial" w:hAnsi="Arial" w:cs="Arial"/>
        </w:rPr>
      </w:pPr>
      <w:r w:rsidRPr="00FB627D">
        <w:rPr>
          <w:rFonts w:ascii="Arial" w:hAnsi="Arial" w:cs="Arial"/>
        </w:rPr>
        <w:t>T</w:t>
      </w:r>
      <w:r w:rsidR="008E2044" w:rsidRPr="00FB627D">
        <w:rPr>
          <w:rFonts w:ascii="Arial" w:hAnsi="Arial" w:cs="Arial"/>
        </w:rPr>
        <w:t>ake forward the pilot phase of the Leading Places project, which aims to strengthen and develop place-based collaborative leadership between the local government and higher education sectors, in advance of a national conclusion event on 28 March</w:t>
      </w:r>
      <w:r w:rsidRPr="00FB627D">
        <w:rPr>
          <w:rFonts w:ascii="Arial" w:hAnsi="Arial" w:cs="Arial"/>
        </w:rPr>
        <w:t>.</w:t>
      </w:r>
    </w:p>
    <w:p w14:paraId="71FCCCFB" w14:textId="77777777" w:rsidR="008E2044" w:rsidRPr="00FB627D" w:rsidRDefault="008E2044" w:rsidP="00454EC6">
      <w:pPr>
        <w:pStyle w:val="ListParagraph"/>
        <w:ind w:left="1080"/>
        <w:rPr>
          <w:rFonts w:ascii="Arial" w:hAnsi="Arial" w:cs="Arial"/>
        </w:rPr>
      </w:pPr>
    </w:p>
    <w:p w14:paraId="0A50B0FF" w14:textId="7BE23FA7" w:rsidR="008E2044" w:rsidRPr="00FB627D" w:rsidRDefault="00454EC6" w:rsidP="00FB627D">
      <w:pPr>
        <w:pStyle w:val="ListParagraph"/>
        <w:numPr>
          <w:ilvl w:val="2"/>
          <w:numId w:val="28"/>
        </w:numPr>
        <w:spacing w:after="160" w:line="252" w:lineRule="auto"/>
        <w:contextualSpacing/>
        <w:rPr>
          <w:rFonts w:ascii="Arial" w:hAnsi="Arial" w:cs="Arial"/>
        </w:rPr>
      </w:pPr>
      <w:r w:rsidRPr="00FB627D">
        <w:rPr>
          <w:rFonts w:ascii="Arial" w:hAnsi="Arial" w:cs="Arial"/>
        </w:rPr>
        <w:t>S</w:t>
      </w:r>
      <w:r w:rsidR="008E2044" w:rsidRPr="00FB627D">
        <w:rPr>
          <w:rFonts w:ascii="Arial" w:hAnsi="Arial" w:cs="Arial"/>
        </w:rPr>
        <w:t>upporting the launch of a new leadership development programme called the Local Growth Academy aimed at building the operational capacity of anchor institutions to support inclusive growth and place-based leadership</w:t>
      </w:r>
      <w:r w:rsidRPr="00FB627D">
        <w:rPr>
          <w:rFonts w:ascii="Arial" w:hAnsi="Arial" w:cs="Arial"/>
        </w:rPr>
        <w:t>.</w:t>
      </w:r>
    </w:p>
    <w:p w14:paraId="54A2EB32" w14:textId="77777777" w:rsidR="008E2044" w:rsidRPr="00FB627D" w:rsidRDefault="008E2044" w:rsidP="00454EC6">
      <w:pPr>
        <w:pStyle w:val="ListParagraph"/>
        <w:rPr>
          <w:rFonts w:ascii="Arial" w:hAnsi="Arial" w:cs="Arial"/>
        </w:rPr>
      </w:pPr>
    </w:p>
    <w:p w14:paraId="0925BEB9" w14:textId="642007E0" w:rsidR="008E2044" w:rsidRPr="00FB627D" w:rsidRDefault="00454EC6" w:rsidP="00FB627D">
      <w:pPr>
        <w:pStyle w:val="ListParagraph"/>
        <w:numPr>
          <w:ilvl w:val="1"/>
          <w:numId w:val="28"/>
        </w:numPr>
        <w:spacing w:line="252" w:lineRule="auto"/>
        <w:contextualSpacing/>
        <w:rPr>
          <w:rFonts w:ascii="Arial" w:hAnsi="Arial" w:cs="Arial"/>
        </w:rPr>
      </w:pPr>
      <w:r w:rsidRPr="00FB627D">
        <w:rPr>
          <w:rFonts w:ascii="Arial" w:hAnsi="Arial" w:cs="Arial"/>
        </w:rPr>
        <w:t>C</w:t>
      </w:r>
      <w:r w:rsidR="008E2044" w:rsidRPr="00FB627D">
        <w:rPr>
          <w:rFonts w:ascii="Arial" w:hAnsi="Arial" w:cs="Arial"/>
        </w:rPr>
        <w:t>ontinuing to develop and deliver our bespoke support offer to areas looking to secure and advance local devolution, including: leadership support, overview and scrutiny support, policy development, communications and negotiations with Whitehall.</w:t>
      </w:r>
    </w:p>
    <w:p w14:paraId="3BDB10D0" w14:textId="77777777" w:rsidR="00454EC6" w:rsidRPr="00FB627D" w:rsidRDefault="00454EC6" w:rsidP="0008033C">
      <w:pPr>
        <w:rPr>
          <w:rFonts w:ascii="Arial" w:eastAsia="Calibri" w:hAnsi="Arial" w:cs="Arial"/>
          <w:b/>
          <w:bCs/>
          <w:szCs w:val="22"/>
          <w:u w:val="single"/>
          <w:lang w:eastAsia="en-US"/>
        </w:rPr>
      </w:pPr>
    </w:p>
    <w:p w14:paraId="69482F4E" w14:textId="215A22B3" w:rsidR="0008033C" w:rsidRPr="00FB627D" w:rsidRDefault="0008033C" w:rsidP="0008033C">
      <w:pPr>
        <w:rPr>
          <w:rFonts w:ascii="Arial" w:eastAsia="Calibri" w:hAnsi="Arial" w:cs="Arial"/>
          <w:b/>
          <w:bCs/>
          <w:szCs w:val="22"/>
          <w:lang w:eastAsia="en-US"/>
        </w:rPr>
      </w:pPr>
      <w:r w:rsidRPr="00FB627D">
        <w:rPr>
          <w:rFonts w:ascii="Arial" w:eastAsia="Calibri" w:hAnsi="Arial" w:cs="Arial"/>
          <w:b/>
          <w:bCs/>
          <w:szCs w:val="22"/>
          <w:lang w:eastAsia="en-US"/>
        </w:rPr>
        <w:t xml:space="preserve">Community Wellbeing </w:t>
      </w:r>
      <w:r w:rsidR="00FE624B" w:rsidRPr="00FB627D">
        <w:rPr>
          <w:rFonts w:ascii="Arial" w:eastAsia="Calibri" w:hAnsi="Arial" w:cs="Arial"/>
          <w:b/>
          <w:bCs/>
          <w:szCs w:val="22"/>
          <w:lang w:eastAsia="en-US"/>
        </w:rPr>
        <w:t>Board</w:t>
      </w:r>
    </w:p>
    <w:p w14:paraId="4A06816C" w14:textId="77777777" w:rsidR="0008033C" w:rsidRPr="00FB627D" w:rsidRDefault="0008033C" w:rsidP="0008033C">
      <w:pPr>
        <w:pStyle w:val="Default"/>
      </w:pPr>
    </w:p>
    <w:p w14:paraId="769FEAB7" w14:textId="77777777" w:rsidR="0008033C" w:rsidRPr="00FB627D" w:rsidRDefault="0008033C" w:rsidP="0008033C">
      <w:pPr>
        <w:pStyle w:val="Default"/>
        <w:rPr>
          <w:bCs/>
          <w:sz w:val="22"/>
          <w:szCs w:val="22"/>
          <w:u w:val="single"/>
        </w:rPr>
      </w:pPr>
      <w:r w:rsidRPr="00FB627D">
        <w:rPr>
          <w:bCs/>
          <w:sz w:val="22"/>
          <w:szCs w:val="22"/>
          <w:u w:val="single"/>
        </w:rPr>
        <w:t>Care and Health Improvement Programme (CHIP)</w:t>
      </w:r>
    </w:p>
    <w:p w14:paraId="27F73AA9" w14:textId="77777777" w:rsidR="00454EC6" w:rsidRPr="00FB627D" w:rsidRDefault="00454EC6" w:rsidP="00CC0AAC">
      <w:pPr>
        <w:rPr>
          <w:rFonts w:ascii="Arial" w:hAnsi="Arial" w:cs="Arial"/>
        </w:rPr>
      </w:pPr>
    </w:p>
    <w:p w14:paraId="357EB432" w14:textId="50D5B3A9" w:rsidR="00CC0AAC" w:rsidRPr="00FB627D" w:rsidRDefault="00CC0AAC" w:rsidP="00FB627D">
      <w:pPr>
        <w:pStyle w:val="ListParagraph"/>
        <w:numPr>
          <w:ilvl w:val="0"/>
          <w:numId w:val="28"/>
        </w:numPr>
        <w:rPr>
          <w:rFonts w:ascii="Arial" w:hAnsi="Arial" w:cs="Arial"/>
        </w:rPr>
      </w:pPr>
      <w:r w:rsidRPr="00FB627D">
        <w:rPr>
          <w:rFonts w:ascii="Arial" w:hAnsi="Arial" w:cs="Arial"/>
        </w:rPr>
        <w:t xml:space="preserve">The maturing collaboration with NHS Clinical Commissioners on Health and Wellbeing Board (HWB) leadership support included the year’s final HWB Chairs and Vice Chairs Leadership Essentials on 24 and 25 January co-facilitated by Cllr Jennifer Mein, Leader </w:t>
      </w:r>
      <w:r w:rsidRPr="00FB627D">
        <w:rPr>
          <w:rFonts w:ascii="Arial" w:hAnsi="Arial" w:cs="Arial"/>
        </w:rPr>
        <w:lastRenderedPageBreak/>
        <w:t xml:space="preserve">of Lancashire County Council, and Dr Graham Jackson, Chair of NHS Clinical Commissioners. The Annual Chairs and Vice chairs summit on 22 March </w:t>
      </w:r>
      <w:r w:rsidR="00AA6C5F" w:rsidRPr="00FB627D">
        <w:rPr>
          <w:rFonts w:ascii="Arial" w:hAnsi="Arial" w:cs="Arial"/>
        </w:rPr>
        <w:t xml:space="preserve">is due to </w:t>
      </w:r>
      <w:r w:rsidRPr="00FB627D">
        <w:rPr>
          <w:rFonts w:ascii="Arial" w:hAnsi="Arial" w:cs="Arial"/>
        </w:rPr>
        <w:t xml:space="preserve">attract over 50 councillor HWB Chairs and GP Vice Chairs, co-chaired by Cllr Jonathan McShane and Dr Graham Jackson. The theme </w:t>
      </w:r>
      <w:r w:rsidR="00663E46" w:rsidRPr="00FB627D">
        <w:rPr>
          <w:rFonts w:ascii="Arial" w:hAnsi="Arial" w:cs="Arial"/>
        </w:rPr>
        <w:t xml:space="preserve">is </w:t>
      </w:r>
      <w:r w:rsidRPr="00FB627D">
        <w:rPr>
          <w:rFonts w:ascii="Arial" w:hAnsi="Arial" w:cs="Arial"/>
        </w:rPr>
        <w:t xml:space="preserve">“Local Leadership, Local Solutions” with a blend of national and local speakers, workshops and a panel session with contributions from the Department of Health, Think Local Act Personal, the Association of Directors of Public Health, London Councils, acute providers, Salford City and Nottinghamshire. The annual state of the nation research on health and wellbeing system leadership </w:t>
      </w:r>
      <w:r w:rsidR="00663E46" w:rsidRPr="00FB627D">
        <w:rPr>
          <w:rFonts w:ascii="Arial" w:hAnsi="Arial" w:cs="Arial"/>
        </w:rPr>
        <w:t xml:space="preserve">will also be </w:t>
      </w:r>
      <w:r w:rsidRPr="00FB627D">
        <w:rPr>
          <w:rFonts w:ascii="Arial" w:hAnsi="Arial" w:cs="Arial"/>
        </w:rPr>
        <w:t>launched. This research</w:t>
      </w:r>
      <w:r w:rsidR="00AD5F54" w:rsidRPr="00FB627D">
        <w:rPr>
          <w:rFonts w:ascii="Arial" w:hAnsi="Arial" w:cs="Arial"/>
        </w:rPr>
        <w:t xml:space="preserve">, which </w:t>
      </w:r>
      <w:r w:rsidRPr="00FB627D">
        <w:rPr>
          <w:rFonts w:ascii="Arial" w:hAnsi="Arial" w:cs="Arial"/>
        </w:rPr>
        <w:t>we commission Shared Intelligence to undertake</w:t>
      </w:r>
      <w:r w:rsidR="00AD5F54" w:rsidRPr="00FB627D">
        <w:rPr>
          <w:rFonts w:ascii="Arial" w:hAnsi="Arial" w:cs="Arial"/>
        </w:rPr>
        <w:t>,</w:t>
      </w:r>
      <w:r w:rsidRPr="00FB627D">
        <w:rPr>
          <w:rFonts w:ascii="Arial" w:hAnsi="Arial" w:cs="Arial"/>
        </w:rPr>
        <w:t xml:space="preserve"> is unique in being the only longitudinal study of HWBs. </w:t>
      </w:r>
    </w:p>
    <w:p w14:paraId="58D3ABBE" w14:textId="77777777" w:rsidR="00CC0AAC" w:rsidRPr="00FB627D" w:rsidRDefault="00CC0AAC" w:rsidP="00CC0AAC">
      <w:pPr>
        <w:rPr>
          <w:rFonts w:ascii="Arial" w:hAnsi="Arial" w:cs="Arial"/>
        </w:rPr>
      </w:pPr>
    </w:p>
    <w:p w14:paraId="4B708019" w14:textId="5C7E504D" w:rsidR="00CC0AAC" w:rsidRPr="00FB627D" w:rsidRDefault="00CC0AAC" w:rsidP="00FB627D">
      <w:pPr>
        <w:pStyle w:val="ListParagraph"/>
        <w:numPr>
          <w:ilvl w:val="0"/>
          <w:numId w:val="28"/>
        </w:numPr>
        <w:rPr>
          <w:rFonts w:ascii="Arial" w:hAnsi="Arial" w:cs="Arial"/>
        </w:rPr>
      </w:pPr>
      <w:r w:rsidRPr="00FB627D">
        <w:rPr>
          <w:rFonts w:ascii="Arial" w:hAnsi="Arial" w:cs="Arial"/>
        </w:rPr>
        <w:t xml:space="preserve">This quarter we have supported HWB/system development and Chairs in: Ealing, Hammersmith and Fulham, Bexley, Stoke, York, Gloucestershire and Bracknell Forest. A growing trend is HWB cluster working and we delivered a highly successful event in Cheshire and Wirral for three HWBs attracting 45 attendees led by Cllr Ruth </w:t>
      </w:r>
      <w:proofErr w:type="spellStart"/>
      <w:r w:rsidRPr="00FB627D">
        <w:rPr>
          <w:rFonts w:ascii="Arial" w:hAnsi="Arial" w:cs="Arial"/>
        </w:rPr>
        <w:t>Dombey</w:t>
      </w:r>
      <w:proofErr w:type="spellEnd"/>
      <w:r w:rsidRPr="00FB627D">
        <w:rPr>
          <w:rFonts w:ascii="Arial" w:hAnsi="Arial" w:cs="Arial"/>
        </w:rPr>
        <w:t>. In total this year 29 individual HWBs have received tailored support plus three clusters and including three district based boards.</w:t>
      </w:r>
    </w:p>
    <w:p w14:paraId="35EF2463" w14:textId="77777777" w:rsidR="00CC0AAC" w:rsidRPr="00FB627D" w:rsidRDefault="00CC0AAC" w:rsidP="00CC0AAC">
      <w:pPr>
        <w:rPr>
          <w:rFonts w:ascii="Arial" w:hAnsi="Arial" w:cs="Arial"/>
        </w:rPr>
      </w:pPr>
    </w:p>
    <w:p w14:paraId="3253B39F" w14:textId="5F196F83" w:rsidR="00CC0AAC" w:rsidRPr="00FB627D" w:rsidRDefault="00CC0AAC" w:rsidP="00FB627D">
      <w:pPr>
        <w:pStyle w:val="ListParagraph"/>
        <w:numPr>
          <w:ilvl w:val="0"/>
          <w:numId w:val="28"/>
        </w:numPr>
        <w:rPr>
          <w:rFonts w:ascii="Arial" w:hAnsi="Arial" w:cs="Arial"/>
        </w:rPr>
      </w:pPr>
      <w:r w:rsidRPr="00FB627D">
        <w:rPr>
          <w:rFonts w:ascii="Arial" w:hAnsi="Arial" w:cs="Arial"/>
        </w:rPr>
        <w:t xml:space="preserve">The “Prevention Matters” workshop for all elected members, has been phenomenally well received and 30 have been delivered in the last two quarters, eg for 60 members in Trafford, with 14 expressions of interest for the new financial year when CHIP funding for a Prevention stream is agreed. Prevention Matters has been delivered to clusters of councils, districts, upper tier councils and joint sessions by a trained member peer and public health specialist. This workshop has widened the programme’s reach. </w:t>
      </w:r>
    </w:p>
    <w:p w14:paraId="501EA371" w14:textId="77777777" w:rsidR="00CC0AAC" w:rsidRPr="00FB627D" w:rsidRDefault="00CC0AAC" w:rsidP="00CC0AAC">
      <w:pPr>
        <w:rPr>
          <w:rFonts w:ascii="Arial" w:hAnsi="Arial" w:cs="Arial"/>
        </w:rPr>
      </w:pPr>
    </w:p>
    <w:p w14:paraId="4271073C" w14:textId="263DE75B" w:rsidR="00CC0AAC" w:rsidRPr="00FB627D" w:rsidRDefault="00CC0AAC" w:rsidP="00FB627D">
      <w:pPr>
        <w:pStyle w:val="ListParagraph"/>
        <w:numPr>
          <w:ilvl w:val="0"/>
          <w:numId w:val="28"/>
        </w:numPr>
        <w:rPr>
          <w:rFonts w:ascii="Arial" w:hAnsi="Arial" w:cs="Arial"/>
          <w:szCs w:val="22"/>
        </w:rPr>
      </w:pPr>
      <w:r w:rsidRPr="00FB627D">
        <w:rPr>
          <w:rFonts w:ascii="Arial" w:hAnsi="Arial" w:cs="Arial"/>
        </w:rPr>
        <w:t xml:space="preserve">We piloted the new approach System Wide Care and Health Peer Challenge with Kirklees and jointly with Coventry and Warwickshire. We are undertaking an evaluation exercise and engaging with </w:t>
      </w:r>
      <w:r w:rsidRPr="00FB627D">
        <w:rPr>
          <w:rFonts w:ascii="Arial" w:hAnsi="Arial" w:cs="Arial"/>
          <w:szCs w:val="22"/>
        </w:rPr>
        <w:t xml:space="preserve">NHS partners to build their support for the peer challenge so that it has real traction with the system. </w:t>
      </w:r>
    </w:p>
    <w:p w14:paraId="052F52D4" w14:textId="77777777" w:rsidR="00CC0AAC" w:rsidRPr="00FB627D" w:rsidRDefault="00CC0AAC" w:rsidP="00CC0AAC">
      <w:pPr>
        <w:rPr>
          <w:rFonts w:ascii="Arial" w:hAnsi="Arial" w:cs="Arial"/>
          <w:szCs w:val="22"/>
        </w:rPr>
      </w:pPr>
    </w:p>
    <w:p w14:paraId="0389542E" w14:textId="3531DBA7" w:rsidR="00CC0AAC" w:rsidRPr="00FB627D" w:rsidRDefault="00403076" w:rsidP="00FB627D">
      <w:pPr>
        <w:pStyle w:val="ListParagraph"/>
        <w:numPr>
          <w:ilvl w:val="0"/>
          <w:numId w:val="28"/>
        </w:numPr>
        <w:autoSpaceDE w:val="0"/>
        <w:autoSpaceDN w:val="0"/>
        <w:adjustRightInd w:val="0"/>
        <w:rPr>
          <w:rFonts w:ascii="Arial" w:hAnsi="Arial" w:cs="Arial"/>
        </w:rPr>
      </w:pPr>
      <w:r w:rsidRPr="00FB627D">
        <w:rPr>
          <w:rFonts w:ascii="Arial" w:hAnsi="Arial" w:cs="Arial"/>
          <w:szCs w:val="22"/>
        </w:rPr>
        <w:t xml:space="preserve">Facilitated integration workshops </w:t>
      </w:r>
      <w:r w:rsidRPr="00FB627D">
        <w:rPr>
          <w:rFonts w:ascii="Arial" w:eastAsiaTheme="minorHAnsi" w:hAnsi="Arial" w:cs="Arial"/>
          <w:szCs w:val="22"/>
          <w:lang w:eastAsia="en-US"/>
        </w:rPr>
        <w:t>enable local health and wellbeing system leaders to identify their ambitions, capacity, capability and commitment to make meaningful progress to achieving a fully integrated local health and care system</w:t>
      </w:r>
      <w:r w:rsidR="00687941" w:rsidRPr="00FB627D">
        <w:rPr>
          <w:rFonts w:ascii="Arial" w:eastAsiaTheme="minorHAnsi" w:hAnsi="Arial" w:cs="Arial"/>
          <w:szCs w:val="22"/>
          <w:lang w:eastAsia="en-US"/>
        </w:rPr>
        <w:t xml:space="preserve">, and enable them to </w:t>
      </w:r>
      <w:r w:rsidRPr="00FB627D">
        <w:rPr>
          <w:rFonts w:ascii="Arial" w:eastAsiaTheme="minorHAnsi" w:hAnsi="Arial" w:cs="Arial"/>
          <w:szCs w:val="22"/>
          <w:lang w:eastAsia="en-US"/>
        </w:rPr>
        <w:t>identify where</w:t>
      </w:r>
      <w:r w:rsidR="00687941" w:rsidRPr="00FB627D">
        <w:rPr>
          <w:rFonts w:ascii="Arial" w:eastAsiaTheme="minorHAnsi" w:hAnsi="Arial" w:cs="Arial"/>
          <w:szCs w:val="22"/>
          <w:lang w:eastAsia="en-US"/>
        </w:rPr>
        <w:t xml:space="preserve"> they </w:t>
      </w:r>
      <w:r w:rsidRPr="00FB627D">
        <w:rPr>
          <w:rFonts w:ascii="Arial" w:eastAsiaTheme="minorHAnsi" w:hAnsi="Arial" w:cs="Arial"/>
          <w:szCs w:val="22"/>
          <w:lang w:eastAsia="en-US"/>
        </w:rPr>
        <w:t xml:space="preserve">are now and what more </w:t>
      </w:r>
      <w:r w:rsidR="00687941" w:rsidRPr="00FB627D">
        <w:rPr>
          <w:rFonts w:ascii="Arial" w:eastAsiaTheme="minorHAnsi" w:hAnsi="Arial" w:cs="Arial"/>
          <w:szCs w:val="22"/>
          <w:lang w:eastAsia="en-US"/>
        </w:rPr>
        <w:t xml:space="preserve">they </w:t>
      </w:r>
      <w:r w:rsidRPr="00FB627D">
        <w:rPr>
          <w:rFonts w:ascii="Arial" w:eastAsiaTheme="minorHAnsi" w:hAnsi="Arial" w:cs="Arial"/>
          <w:szCs w:val="22"/>
          <w:lang w:eastAsia="en-US"/>
        </w:rPr>
        <w:t>need to do to escalate the</w:t>
      </w:r>
      <w:r w:rsidR="00687941" w:rsidRPr="00FB627D">
        <w:rPr>
          <w:rFonts w:ascii="Arial" w:eastAsiaTheme="minorHAnsi" w:hAnsi="Arial" w:cs="Arial"/>
          <w:szCs w:val="22"/>
          <w:lang w:eastAsia="en-US"/>
        </w:rPr>
        <w:t xml:space="preserve"> s</w:t>
      </w:r>
      <w:r w:rsidRPr="00FB627D">
        <w:rPr>
          <w:rFonts w:ascii="Arial" w:eastAsiaTheme="minorHAnsi" w:hAnsi="Arial" w:cs="Arial"/>
          <w:szCs w:val="22"/>
          <w:lang w:eastAsia="en-US"/>
        </w:rPr>
        <w:t>cale and pace of integration.</w:t>
      </w:r>
      <w:r w:rsidR="00687941" w:rsidRPr="00FB627D">
        <w:rPr>
          <w:rFonts w:ascii="Arial" w:eastAsiaTheme="minorHAnsi" w:hAnsi="Arial" w:cs="Arial"/>
          <w:szCs w:val="22"/>
          <w:lang w:eastAsia="en-US"/>
        </w:rPr>
        <w:t xml:space="preserve"> The r</w:t>
      </w:r>
      <w:r w:rsidR="00CC0AAC" w:rsidRPr="00FB627D">
        <w:rPr>
          <w:rFonts w:ascii="Arial" w:hAnsi="Arial" w:cs="Arial"/>
          <w:szCs w:val="22"/>
        </w:rPr>
        <w:t xml:space="preserve">ollout of </w:t>
      </w:r>
      <w:r w:rsidR="00687941" w:rsidRPr="00FB627D">
        <w:rPr>
          <w:rFonts w:ascii="Arial" w:hAnsi="Arial" w:cs="Arial"/>
          <w:szCs w:val="22"/>
        </w:rPr>
        <w:t>these w</w:t>
      </w:r>
      <w:r w:rsidR="00CC0AAC" w:rsidRPr="00FB627D">
        <w:rPr>
          <w:rFonts w:ascii="Arial" w:hAnsi="Arial" w:cs="Arial"/>
        </w:rPr>
        <w:t xml:space="preserve">orkshops has included sessions in: Milton Keynes, Barking and Dagenham, Bromley, Luton, Herefordshire and Northamptonshire bringing the total so far to 18 and with 16 expressions of interest for the next quarter including four clusters. The credibility and experience of the facilitator is paramount in the effectiveness of this offer and we have built up an excellent cadre of NHS and Local Government peers and associates to deliver. </w:t>
      </w:r>
    </w:p>
    <w:p w14:paraId="3D554E84" w14:textId="77777777" w:rsidR="00B82F7D" w:rsidRPr="00FB627D" w:rsidRDefault="00B82F7D" w:rsidP="0008033C">
      <w:pPr>
        <w:rPr>
          <w:rFonts w:ascii="Arial" w:eastAsia="Calibri" w:hAnsi="Arial" w:cs="Arial"/>
          <w:b/>
          <w:bCs/>
          <w:szCs w:val="22"/>
          <w:lang w:eastAsia="en-US"/>
        </w:rPr>
      </w:pPr>
    </w:p>
    <w:p w14:paraId="35F8B5B7" w14:textId="2099DEE8" w:rsidR="00454EC6" w:rsidRPr="00FB627D" w:rsidRDefault="0008033C" w:rsidP="00454EC6">
      <w:pPr>
        <w:spacing w:line="276" w:lineRule="auto"/>
        <w:rPr>
          <w:rFonts w:ascii="Arial" w:eastAsiaTheme="minorHAnsi" w:hAnsi="Arial" w:cs="Arial"/>
          <w:b/>
          <w:szCs w:val="22"/>
          <w:lang w:eastAsia="en-US"/>
        </w:rPr>
      </w:pPr>
      <w:r w:rsidRPr="00FB627D">
        <w:rPr>
          <w:rFonts w:ascii="Arial" w:eastAsiaTheme="minorHAnsi" w:hAnsi="Arial" w:cs="Arial"/>
          <w:b/>
          <w:szCs w:val="22"/>
          <w:lang w:eastAsia="en-US"/>
        </w:rPr>
        <w:t xml:space="preserve">Children and Young People Board </w:t>
      </w:r>
    </w:p>
    <w:p w14:paraId="70301300" w14:textId="77777777" w:rsidR="00454EC6" w:rsidRPr="00FB627D" w:rsidRDefault="00454EC6" w:rsidP="00454EC6">
      <w:pPr>
        <w:spacing w:line="276" w:lineRule="auto"/>
        <w:rPr>
          <w:rFonts w:ascii="Arial" w:eastAsiaTheme="minorHAnsi" w:hAnsi="Arial" w:cs="Arial"/>
          <w:szCs w:val="22"/>
          <w:lang w:eastAsia="en-US"/>
        </w:rPr>
      </w:pPr>
    </w:p>
    <w:p w14:paraId="065BB3EC" w14:textId="38123DC4" w:rsidR="00160348" w:rsidRDefault="00160348" w:rsidP="00FB627D">
      <w:pPr>
        <w:pStyle w:val="ListParagraph"/>
        <w:numPr>
          <w:ilvl w:val="0"/>
          <w:numId w:val="28"/>
        </w:numPr>
        <w:spacing w:line="276" w:lineRule="auto"/>
        <w:rPr>
          <w:rFonts w:ascii="Arial" w:eastAsiaTheme="minorHAnsi" w:hAnsi="Arial" w:cs="Arial"/>
          <w:szCs w:val="22"/>
          <w:lang w:eastAsia="en-US"/>
        </w:rPr>
      </w:pPr>
      <w:r w:rsidRPr="00FB627D">
        <w:rPr>
          <w:rFonts w:ascii="Arial" w:eastAsiaTheme="minorHAnsi" w:hAnsi="Arial" w:cs="Arial"/>
          <w:szCs w:val="22"/>
          <w:lang w:eastAsia="en-US"/>
        </w:rPr>
        <w:t>The third and final children’s Leadership Essentials course took place in January. A total of 48 members attended the three courses held between September 2016 and January 2017, and planning will soon begin on the next round of courses, due to commence in September this year.</w:t>
      </w:r>
    </w:p>
    <w:p w14:paraId="56B57FA9" w14:textId="77777777" w:rsidR="00B664D4" w:rsidRPr="00FB627D" w:rsidRDefault="00B664D4" w:rsidP="00B664D4">
      <w:pPr>
        <w:pStyle w:val="ListParagraph"/>
        <w:spacing w:line="276" w:lineRule="auto"/>
        <w:ind w:left="360"/>
        <w:rPr>
          <w:rFonts w:ascii="Arial" w:eastAsiaTheme="minorHAnsi" w:hAnsi="Arial" w:cs="Arial"/>
          <w:szCs w:val="22"/>
          <w:lang w:eastAsia="en-US"/>
        </w:rPr>
      </w:pPr>
    </w:p>
    <w:p w14:paraId="7A062D89" w14:textId="050A62CE" w:rsidR="00160348" w:rsidRPr="00FB627D" w:rsidRDefault="00160348" w:rsidP="00FB627D">
      <w:pPr>
        <w:pStyle w:val="ListParagraph"/>
        <w:numPr>
          <w:ilvl w:val="0"/>
          <w:numId w:val="28"/>
        </w:numPr>
        <w:spacing w:after="200" w:line="276" w:lineRule="auto"/>
        <w:rPr>
          <w:rFonts w:ascii="Arial" w:eastAsiaTheme="minorHAnsi" w:hAnsi="Arial" w:cs="Arial"/>
          <w:szCs w:val="22"/>
          <w:lang w:eastAsia="en-US"/>
        </w:rPr>
      </w:pPr>
      <w:r w:rsidRPr="00FB627D">
        <w:rPr>
          <w:rFonts w:ascii="Arial" w:eastAsiaTheme="minorHAnsi" w:hAnsi="Arial" w:cs="Arial"/>
          <w:szCs w:val="22"/>
          <w:lang w:eastAsia="en-US"/>
        </w:rPr>
        <w:t>The LGA/</w:t>
      </w:r>
      <w:r w:rsidR="00D73C35" w:rsidRPr="00FB627D">
        <w:rPr>
          <w:rFonts w:ascii="Arial" w:eastAsiaTheme="minorHAnsi" w:hAnsi="Arial" w:cs="Arial"/>
          <w:szCs w:val="22"/>
          <w:lang w:eastAsia="en-US"/>
        </w:rPr>
        <w:t>Association of Directors of Children’s Services</w:t>
      </w:r>
      <w:r w:rsidRPr="00FB627D">
        <w:rPr>
          <w:rFonts w:ascii="Arial" w:eastAsiaTheme="minorHAnsi" w:hAnsi="Arial" w:cs="Arial"/>
          <w:szCs w:val="22"/>
          <w:lang w:eastAsia="en-US"/>
        </w:rPr>
        <w:t xml:space="preserve">/Solace Children’s Improvement Board, met on 24 January, where discussions focussed on developing a sector response </w:t>
      </w:r>
      <w:r w:rsidRPr="00FB627D">
        <w:rPr>
          <w:rFonts w:ascii="Arial" w:eastAsiaTheme="minorHAnsi" w:hAnsi="Arial" w:cs="Arial"/>
          <w:szCs w:val="22"/>
          <w:lang w:eastAsia="en-US"/>
        </w:rPr>
        <w:lastRenderedPageBreak/>
        <w:t>to the National Audit Office ‘children in need of help or protection’ report and the effectiveness of the Department for Education’s ‘Partners in Practi</w:t>
      </w:r>
      <w:r w:rsidR="00D73C35" w:rsidRPr="00FB627D">
        <w:rPr>
          <w:rFonts w:ascii="Arial" w:eastAsiaTheme="minorHAnsi" w:hAnsi="Arial" w:cs="Arial"/>
          <w:szCs w:val="22"/>
          <w:lang w:eastAsia="en-US"/>
        </w:rPr>
        <w:t>c</w:t>
      </w:r>
      <w:r w:rsidRPr="00FB627D">
        <w:rPr>
          <w:rFonts w:ascii="Arial" w:eastAsiaTheme="minorHAnsi" w:hAnsi="Arial" w:cs="Arial"/>
          <w:szCs w:val="22"/>
          <w:lang w:eastAsia="en-US"/>
        </w:rPr>
        <w:t xml:space="preserve">e’ programme. The Board also received a presentation from the </w:t>
      </w:r>
      <w:proofErr w:type="spellStart"/>
      <w:r w:rsidRPr="00FB627D">
        <w:rPr>
          <w:rFonts w:ascii="Arial" w:eastAsiaTheme="minorHAnsi" w:hAnsi="Arial" w:cs="Arial"/>
          <w:szCs w:val="22"/>
          <w:lang w:eastAsia="en-US"/>
        </w:rPr>
        <w:t>Isos</w:t>
      </w:r>
      <w:proofErr w:type="spellEnd"/>
      <w:r w:rsidRPr="00FB627D">
        <w:rPr>
          <w:rFonts w:ascii="Arial" w:eastAsiaTheme="minorHAnsi" w:hAnsi="Arial" w:cs="Arial"/>
          <w:szCs w:val="22"/>
          <w:lang w:eastAsia="en-US"/>
        </w:rPr>
        <w:t xml:space="preserve"> partnership on an LGA-commissioned project looking at the role of different delivery models in driving improvement in children’s services.</w:t>
      </w:r>
    </w:p>
    <w:p w14:paraId="68E5B3E9" w14:textId="5B926F52" w:rsidR="0008033C" w:rsidRPr="00FB627D" w:rsidRDefault="0088476B" w:rsidP="0008033C">
      <w:pPr>
        <w:tabs>
          <w:tab w:val="left" w:pos="4785"/>
        </w:tabs>
        <w:spacing w:after="200" w:line="276" w:lineRule="auto"/>
        <w:rPr>
          <w:rFonts w:ascii="Arial" w:eastAsiaTheme="minorHAnsi" w:hAnsi="Arial" w:cs="Arial"/>
          <w:b/>
          <w:szCs w:val="22"/>
          <w:lang w:eastAsia="en-US"/>
        </w:rPr>
      </w:pPr>
      <w:r w:rsidRPr="00FB627D">
        <w:rPr>
          <w:rFonts w:ascii="Arial" w:eastAsiaTheme="minorHAnsi" w:hAnsi="Arial" w:cs="Arial"/>
          <w:b/>
          <w:szCs w:val="22"/>
          <w:lang w:eastAsia="en-US"/>
        </w:rPr>
        <w:t>Culture, Tourism and Sport</w:t>
      </w:r>
      <w:r w:rsidR="0008033C" w:rsidRPr="00FB627D">
        <w:rPr>
          <w:rFonts w:ascii="Arial" w:eastAsiaTheme="minorHAnsi" w:hAnsi="Arial" w:cs="Arial"/>
          <w:b/>
          <w:szCs w:val="22"/>
          <w:lang w:eastAsia="en-US"/>
        </w:rPr>
        <w:t xml:space="preserve"> </w:t>
      </w:r>
      <w:r w:rsidR="003D69FF" w:rsidRPr="00FB627D">
        <w:rPr>
          <w:rFonts w:ascii="Arial" w:eastAsiaTheme="minorHAnsi" w:hAnsi="Arial" w:cs="Arial"/>
          <w:b/>
          <w:szCs w:val="22"/>
          <w:lang w:eastAsia="en-US"/>
        </w:rPr>
        <w:t xml:space="preserve">(CTS) </w:t>
      </w:r>
      <w:r w:rsidR="0008033C" w:rsidRPr="00FB627D">
        <w:rPr>
          <w:rFonts w:ascii="Arial" w:eastAsiaTheme="minorHAnsi" w:hAnsi="Arial" w:cs="Arial"/>
          <w:b/>
          <w:szCs w:val="22"/>
          <w:lang w:eastAsia="en-US"/>
        </w:rPr>
        <w:t>Board</w:t>
      </w:r>
    </w:p>
    <w:p w14:paraId="01AF24ED" w14:textId="3849FEB0" w:rsidR="00696F94" w:rsidRPr="00FB627D" w:rsidRDefault="00696F94" w:rsidP="00FB627D">
      <w:pPr>
        <w:pStyle w:val="ListParagraph"/>
        <w:numPr>
          <w:ilvl w:val="0"/>
          <w:numId w:val="28"/>
        </w:numPr>
        <w:rPr>
          <w:rFonts w:ascii="Arial" w:hAnsi="Arial" w:cs="Arial"/>
        </w:rPr>
      </w:pPr>
      <w:r w:rsidRPr="00FB627D">
        <w:rPr>
          <w:rFonts w:ascii="Arial" w:hAnsi="Arial" w:cs="Arial"/>
        </w:rPr>
        <w:t xml:space="preserve">Culture peer challenges were completed during January and February in Cheshire West and Chester, Sutton, Reading and Carlisle councils. </w:t>
      </w:r>
    </w:p>
    <w:p w14:paraId="37283E89" w14:textId="77777777" w:rsidR="00696F94" w:rsidRPr="00FB627D" w:rsidRDefault="00696F94" w:rsidP="00696F94">
      <w:pPr>
        <w:rPr>
          <w:rFonts w:ascii="Arial" w:hAnsi="Arial" w:cs="Arial"/>
        </w:rPr>
      </w:pPr>
    </w:p>
    <w:p w14:paraId="1DF3EE95" w14:textId="6B71F1C4" w:rsidR="00696F94" w:rsidRPr="00FB627D" w:rsidRDefault="00696F94" w:rsidP="00FB627D">
      <w:pPr>
        <w:pStyle w:val="ListParagraph"/>
        <w:numPr>
          <w:ilvl w:val="0"/>
          <w:numId w:val="28"/>
        </w:numPr>
        <w:rPr>
          <w:rFonts w:ascii="Arial" w:hAnsi="Arial" w:cs="Arial"/>
        </w:rPr>
      </w:pPr>
      <w:r w:rsidRPr="00FB627D">
        <w:rPr>
          <w:rFonts w:ascii="Arial" w:hAnsi="Arial" w:cs="Arial"/>
        </w:rPr>
        <w:t xml:space="preserve">Leadership Essentials in Sport events were delivered in July and November 2016. </w:t>
      </w:r>
    </w:p>
    <w:p w14:paraId="32148852" w14:textId="77777777" w:rsidR="00696F94" w:rsidRPr="00FB627D" w:rsidRDefault="00696F94" w:rsidP="00696F94">
      <w:pPr>
        <w:rPr>
          <w:rFonts w:ascii="Arial" w:hAnsi="Arial" w:cs="Arial"/>
        </w:rPr>
      </w:pPr>
    </w:p>
    <w:p w14:paraId="58BE827C" w14:textId="387D2380" w:rsidR="00696F94" w:rsidRPr="00FB627D" w:rsidRDefault="00696F94" w:rsidP="00FB627D">
      <w:pPr>
        <w:pStyle w:val="ListParagraph"/>
        <w:numPr>
          <w:ilvl w:val="0"/>
          <w:numId w:val="28"/>
        </w:numPr>
        <w:rPr>
          <w:rFonts w:ascii="Arial" w:hAnsi="Arial" w:cs="Arial"/>
        </w:rPr>
      </w:pPr>
      <w:r w:rsidRPr="00FB627D">
        <w:rPr>
          <w:rFonts w:ascii="Arial" w:hAnsi="Arial" w:cs="Arial"/>
        </w:rPr>
        <w:t xml:space="preserve">Leadership Essentials Culture events were delivered in November and December 2016. There are no </w:t>
      </w:r>
      <w:r w:rsidR="00E60436" w:rsidRPr="00FB627D">
        <w:rPr>
          <w:rFonts w:ascii="Arial" w:hAnsi="Arial" w:cs="Arial"/>
        </w:rPr>
        <w:t xml:space="preserve">further such events planned </w:t>
      </w:r>
      <w:r w:rsidRPr="00FB627D">
        <w:rPr>
          <w:rFonts w:ascii="Arial" w:hAnsi="Arial" w:cs="Arial"/>
        </w:rPr>
        <w:t>up to March 2017.</w:t>
      </w:r>
    </w:p>
    <w:p w14:paraId="017A032C" w14:textId="6E6C4274" w:rsidR="0008033C" w:rsidRPr="00FB627D" w:rsidRDefault="003D69FF" w:rsidP="0008033C">
      <w:pPr>
        <w:rPr>
          <w:rFonts w:ascii="Arial" w:hAnsi="Arial" w:cs="Arial"/>
          <w:b/>
          <w:szCs w:val="22"/>
        </w:rPr>
      </w:pPr>
      <w:r w:rsidRPr="00FB627D">
        <w:rPr>
          <w:rFonts w:ascii="Arial" w:hAnsi="Arial" w:cs="Arial"/>
        </w:rPr>
        <w:br/>
      </w:r>
      <w:r w:rsidR="0008033C" w:rsidRPr="00FB627D">
        <w:rPr>
          <w:rFonts w:ascii="Arial" w:hAnsi="Arial" w:cs="Arial"/>
          <w:b/>
          <w:szCs w:val="22"/>
        </w:rPr>
        <w:t xml:space="preserve">Environment, Economy, Housing and Transport </w:t>
      </w:r>
      <w:r w:rsidR="00A55143" w:rsidRPr="00FB627D">
        <w:rPr>
          <w:rFonts w:ascii="Arial" w:hAnsi="Arial" w:cs="Arial"/>
          <w:b/>
          <w:szCs w:val="22"/>
        </w:rPr>
        <w:t xml:space="preserve">(EEHT) </w:t>
      </w:r>
      <w:r w:rsidR="0008033C" w:rsidRPr="00FB627D">
        <w:rPr>
          <w:rFonts w:ascii="Arial" w:hAnsi="Arial" w:cs="Arial"/>
          <w:b/>
          <w:szCs w:val="22"/>
        </w:rPr>
        <w:t>Board</w:t>
      </w:r>
    </w:p>
    <w:p w14:paraId="1EE8944F" w14:textId="77777777" w:rsidR="00FE2386" w:rsidRPr="00FB627D" w:rsidRDefault="00FE2386" w:rsidP="00FE2386">
      <w:pPr>
        <w:rPr>
          <w:rFonts w:ascii="Arial" w:hAnsi="Arial" w:cs="Arial"/>
          <w:b/>
          <w:bCs/>
        </w:rPr>
      </w:pPr>
    </w:p>
    <w:p w14:paraId="1D00CC0E" w14:textId="77777777" w:rsidR="00FE2386" w:rsidRPr="00FB627D" w:rsidRDefault="00FE2386" w:rsidP="00FB627D">
      <w:pPr>
        <w:pStyle w:val="ListParagraph"/>
        <w:numPr>
          <w:ilvl w:val="0"/>
          <w:numId w:val="28"/>
        </w:numPr>
        <w:rPr>
          <w:rFonts w:ascii="Arial" w:hAnsi="Arial" w:cs="Arial"/>
        </w:rPr>
      </w:pPr>
      <w:r w:rsidRPr="00FB627D">
        <w:rPr>
          <w:rFonts w:ascii="Arial" w:hAnsi="Arial" w:cs="Arial"/>
        </w:rPr>
        <w:t xml:space="preserve">The South East housing improvement event was held on 27 January. This very successful event focused on building homes and funding associated infrastructure. The event attracted 90 attendees including councillors and council officers. The Keynote speech was given by </w:t>
      </w:r>
    </w:p>
    <w:p w14:paraId="42A1099B" w14:textId="77777777" w:rsidR="00FE2386" w:rsidRPr="00FB627D" w:rsidRDefault="00FE2386" w:rsidP="00FB627D">
      <w:pPr>
        <w:pStyle w:val="ListParagraph"/>
        <w:numPr>
          <w:ilvl w:val="0"/>
          <w:numId w:val="28"/>
        </w:numPr>
        <w:rPr>
          <w:rFonts w:ascii="Arial" w:hAnsi="Arial" w:cs="Arial"/>
        </w:rPr>
      </w:pPr>
      <w:r w:rsidRPr="00FB627D">
        <w:rPr>
          <w:rFonts w:ascii="Arial" w:hAnsi="Arial" w:cs="Arial"/>
        </w:rPr>
        <w:t>Lord Bob Kerslake, President, Local Government Association. The event was an opportunity for councils to share experiences and showcase good practice.</w:t>
      </w:r>
    </w:p>
    <w:p w14:paraId="36FA54F4" w14:textId="77777777" w:rsidR="00FE2386" w:rsidRPr="00FB627D" w:rsidRDefault="00FE2386" w:rsidP="00FE2386">
      <w:pPr>
        <w:rPr>
          <w:rFonts w:ascii="Arial" w:hAnsi="Arial" w:cs="Arial"/>
        </w:rPr>
      </w:pPr>
    </w:p>
    <w:p w14:paraId="08571DFE" w14:textId="53F54E82" w:rsidR="00FE2386" w:rsidRPr="00FB627D" w:rsidRDefault="00FE2386" w:rsidP="00FB627D">
      <w:pPr>
        <w:pStyle w:val="ListParagraph"/>
        <w:numPr>
          <w:ilvl w:val="0"/>
          <w:numId w:val="28"/>
        </w:numPr>
        <w:rPr>
          <w:rFonts w:ascii="Arial" w:hAnsi="Arial" w:cs="Arial"/>
        </w:rPr>
      </w:pPr>
      <w:r w:rsidRPr="00FB627D">
        <w:rPr>
          <w:rFonts w:ascii="Arial" w:hAnsi="Arial" w:cs="Arial"/>
        </w:rPr>
        <w:t>A buses conference, ‘The Road Ahead for Buses’ was held at Layden House on 15 February. Attended by councillors and officers</w:t>
      </w:r>
      <w:r w:rsidR="0066318B" w:rsidRPr="00FB627D">
        <w:rPr>
          <w:rFonts w:ascii="Arial" w:hAnsi="Arial" w:cs="Arial"/>
        </w:rPr>
        <w:t>,</w:t>
      </w:r>
      <w:r w:rsidRPr="00FB627D">
        <w:rPr>
          <w:rFonts w:ascii="Arial" w:hAnsi="Arial" w:cs="Arial"/>
        </w:rPr>
        <w:t xml:space="preserve"> the event brought together government, councils and the private sector to discuss the future of the sector in the context of the Buses Bill. The Feedback from the event has been very positive. </w:t>
      </w:r>
    </w:p>
    <w:p w14:paraId="40D851AD" w14:textId="77777777" w:rsidR="0008033C" w:rsidRPr="00FB627D" w:rsidRDefault="0008033C" w:rsidP="0008033C">
      <w:pPr>
        <w:rPr>
          <w:rFonts w:ascii="Arial" w:hAnsi="Arial" w:cs="Arial"/>
          <w:b/>
          <w:szCs w:val="22"/>
          <w:u w:val="single"/>
        </w:rPr>
      </w:pPr>
    </w:p>
    <w:p w14:paraId="18EA36BA" w14:textId="1D61DCBE" w:rsidR="00B35487" w:rsidRPr="00FB627D" w:rsidRDefault="0008033C" w:rsidP="00160348">
      <w:pPr>
        <w:pStyle w:val="NoSpacing"/>
        <w:rPr>
          <w:rFonts w:ascii="Arial" w:hAnsi="Arial" w:cs="Arial"/>
        </w:rPr>
      </w:pPr>
      <w:r w:rsidRPr="00FB627D">
        <w:rPr>
          <w:rFonts w:ascii="Arial" w:eastAsia="Calibri" w:hAnsi="Arial" w:cs="Arial"/>
          <w:b/>
          <w:szCs w:val="22"/>
          <w:lang w:eastAsia="en-US"/>
        </w:rPr>
        <w:t>Safer and Stronger Communities Board</w:t>
      </w:r>
    </w:p>
    <w:p w14:paraId="7CE5BBFE" w14:textId="77777777" w:rsidR="00583055" w:rsidRPr="00FB627D" w:rsidRDefault="00583055" w:rsidP="00583055">
      <w:pPr>
        <w:autoSpaceDE w:val="0"/>
        <w:autoSpaceDN w:val="0"/>
        <w:rPr>
          <w:rFonts w:ascii="Arial" w:hAnsi="Arial" w:cs="Arial"/>
        </w:rPr>
      </w:pPr>
    </w:p>
    <w:p w14:paraId="2A7C0B2F" w14:textId="54DA98D6" w:rsidR="00583055" w:rsidRPr="00FB627D" w:rsidRDefault="00583055" w:rsidP="00583055">
      <w:pPr>
        <w:autoSpaceDE w:val="0"/>
        <w:autoSpaceDN w:val="0"/>
        <w:rPr>
          <w:rFonts w:ascii="Arial" w:hAnsi="Arial" w:cs="Arial"/>
          <w:bCs/>
          <w:color w:val="000000"/>
          <w:u w:val="single"/>
        </w:rPr>
      </w:pPr>
      <w:r w:rsidRPr="00FB627D">
        <w:rPr>
          <w:rFonts w:ascii="Arial" w:hAnsi="Arial" w:cs="Arial"/>
          <w:bCs/>
          <w:color w:val="000000"/>
          <w:u w:val="single"/>
        </w:rPr>
        <w:t>Countering extremism – new Leadership Essentials course</w:t>
      </w:r>
    </w:p>
    <w:p w14:paraId="7AC7E445" w14:textId="77777777" w:rsidR="00454EC6" w:rsidRPr="00FB627D" w:rsidRDefault="00454EC6" w:rsidP="00583055">
      <w:pPr>
        <w:autoSpaceDE w:val="0"/>
        <w:autoSpaceDN w:val="0"/>
        <w:rPr>
          <w:rFonts w:ascii="Arial" w:hAnsi="Arial" w:cs="Arial"/>
          <w:color w:val="000000"/>
        </w:rPr>
      </w:pPr>
    </w:p>
    <w:p w14:paraId="73C5C81D" w14:textId="621927EF" w:rsidR="00583055" w:rsidRPr="00FB627D" w:rsidRDefault="00583055" w:rsidP="00FB627D">
      <w:pPr>
        <w:pStyle w:val="ListParagraph"/>
        <w:numPr>
          <w:ilvl w:val="0"/>
          <w:numId w:val="28"/>
        </w:numPr>
        <w:autoSpaceDE w:val="0"/>
        <w:autoSpaceDN w:val="0"/>
        <w:rPr>
          <w:rFonts w:ascii="Arial" w:hAnsi="Arial" w:cs="Arial"/>
          <w:color w:val="000000"/>
        </w:rPr>
      </w:pPr>
      <w:r w:rsidRPr="00FB627D">
        <w:rPr>
          <w:rFonts w:ascii="Arial" w:hAnsi="Arial" w:cs="Arial"/>
          <w:color w:val="000000"/>
        </w:rPr>
        <w:t xml:space="preserve">We will be holding this at the end of February to explore councils’ role in countering extremism. The programme covers understanding extremism, assessing risks, distinctions with delivering the Prevent duty, effective approaches to tackling extremism, scrutiny of local strategies and how to challenge extremist ideologies. The course will encourage members to discuss some of the key issues for councils around this agenda, and provide opportunities to share good practice with members in similar roles. </w:t>
      </w:r>
    </w:p>
    <w:p w14:paraId="179328D9" w14:textId="212A234D" w:rsidR="009E7EFE" w:rsidRPr="00FB627D" w:rsidRDefault="009E7EFE" w:rsidP="00583055">
      <w:pPr>
        <w:autoSpaceDE w:val="0"/>
        <w:autoSpaceDN w:val="0"/>
        <w:rPr>
          <w:rFonts w:ascii="Arial" w:hAnsi="Arial" w:cs="Arial"/>
          <w:color w:val="000000"/>
        </w:rPr>
      </w:pPr>
    </w:p>
    <w:p w14:paraId="367A5265" w14:textId="5EB27C20" w:rsidR="009E7EFE" w:rsidRPr="00FB627D" w:rsidRDefault="009E7EFE" w:rsidP="009E7EFE">
      <w:pPr>
        <w:autoSpaceDE w:val="0"/>
        <w:autoSpaceDN w:val="0"/>
        <w:rPr>
          <w:rFonts w:ascii="Arial" w:hAnsi="Arial" w:cs="Arial"/>
          <w:color w:val="000000"/>
          <w:u w:val="single"/>
        </w:rPr>
      </w:pPr>
      <w:r w:rsidRPr="00FB627D">
        <w:rPr>
          <w:rFonts w:ascii="Arial" w:hAnsi="Arial" w:cs="Arial"/>
          <w:color w:val="000000"/>
          <w:u w:val="single"/>
        </w:rPr>
        <w:t>Taxi licensing</w:t>
      </w:r>
    </w:p>
    <w:p w14:paraId="08F28BB8" w14:textId="77777777" w:rsidR="00454EC6" w:rsidRPr="00FB627D" w:rsidRDefault="00454EC6" w:rsidP="009E7EFE">
      <w:pPr>
        <w:autoSpaceDE w:val="0"/>
        <w:autoSpaceDN w:val="0"/>
        <w:rPr>
          <w:rFonts w:ascii="Arial" w:hAnsi="Arial" w:cs="Arial"/>
          <w:color w:val="000000"/>
        </w:rPr>
      </w:pPr>
    </w:p>
    <w:p w14:paraId="5F0B9848" w14:textId="77777777" w:rsidR="009E7EFE" w:rsidRPr="00FB627D" w:rsidRDefault="009E7EFE" w:rsidP="00FB627D">
      <w:pPr>
        <w:pStyle w:val="ListParagraph"/>
        <w:numPr>
          <w:ilvl w:val="0"/>
          <w:numId w:val="28"/>
        </w:numPr>
        <w:autoSpaceDE w:val="0"/>
        <w:autoSpaceDN w:val="0"/>
        <w:rPr>
          <w:rFonts w:ascii="Arial" w:hAnsi="Arial" w:cs="Arial"/>
          <w:color w:val="000000"/>
          <w:szCs w:val="22"/>
        </w:rPr>
      </w:pPr>
      <w:r w:rsidRPr="00FB627D">
        <w:rPr>
          <w:rFonts w:ascii="Arial" w:hAnsi="Arial" w:cs="Arial"/>
          <w:color w:val="000000"/>
        </w:rPr>
        <w:t xml:space="preserve">We held the last in a series of successful events for councils on taxi licensing in February 2017. The event in Preston was attended by forty Members and officers and provided support to councils around oversight and scrutiny of licensing, the role of the licensing committee, as well as sharing best practice and tackling specialist issues like the role of licensing in preventing child sexual exploitation and supporting disabled access. </w:t>
      </w:r>
    </w:p>
    <w:p w14:paraId="5ADDF638" w14:textId="77777777" w:rsidR="009E7EFE" w:rsidRPr="00FB627D" w:rsidRDefault="009E7EFE" w:rsidP="009E7EFE">
      <w:pPr>
        <w:autoSpaceDE w:val="0"/>
        <w:autoSpaceDN w:val="0"/>
        <w:rPr>
          <w:rFonts w:ascii="Arial" w:hAnsi="Arial" w:cs="Arial"/>
          <w:color w:val="000000"/>
        </w:rPr>
      </w:pPr>
    </w:p>
    <w:p w14:paraId="39E4668D" w14:textId="77777777" w:rsidR="009E7EFE" w:rsidRPr="00FB627D" w:rsidRDefault="009E7EFE" w:rsidP="00FB627D">
      <w:pPr>
        <w:pStyle w:val="ListParagraph"/>
        <w:numPr>
          <w:ilvl w:val="0"/>
          <w:numId w:val="28"/>
        </w:numPr>
        <w:rPr>
          <w:rFonts w:ascii="Arial" w:hAnsi="Arial" w:cs="Arial"/>
          <w:iCs/>
          <w:color w:val="000000"/>
        </w:rPr>
      </w:pPr>
      <w:r w:rsidRPr="00FB627D">
        <w:rPr>
          <w:rFonts w:ascii="Arial" w:hAnsi="Arial" w:cs="Arial"/>
          <w:iCs/>
          <w:color w:val="000000"/>
        </w:rPr>
        <w:lastRenderedPageBreak/>
        <w:t>We also held our annual LGA licensing conference at the start of February. Over eighty delegates heard from a range of expert speakers about the future of the Licensing Act 2003, using health data in licensing, taxi licensing (in particular accessibility and safeguarding) and managing the night time economy. Afternoon workshops focused on the use of risk assessments and local area profiles which was led by the Gambling Commission, the digitalisation of licensing, and the role of the member on licensing committees.</w:t>
      </w:r>
    </w:p>
    <w:p w14:paraId="19C47787" w14:textId="77777777" w:rsidR="009E7EFE" w:rsidRPr="00FB627D" w:rsidRDefault="009E7EFE" w:rsidP="00583055">
      <w:pPr>
        <w:autoSpaceDE w:val="0"/>
        <w:autoSpaceDN w:val="0"/>
        <w:rPr>
          <w:rFonts w:ascii="Arial" w:hAnsi="Arial" w:cs="Arial"/>
          <w:color w:val="000000"/>
        </w:rPr>
      </w:pPr>
    </w:p>
    <w:p w14:paraId="5A2FBE09" w14:textId="7235D30F" w:rsidR="00583055" w:rsidRPr="00FB627D" w:rsidRDefault="00583055" w:rsidP="00583055">
      <w:pPr>
        <w:rPr>
          <w:rFonts w:ascii="Arial" w:hAnsi="Arial" w:cs="Arial"/>
          <w:bCs/>
          <w:u w:val="single"/>
        </w:rPr>
      </w:pPr>
      <w:r w:rsidRPr="00FB627D">
        <w:rPr>
          <w:rFonts w:ascii="Arial" w:hAnsi="Arial" w:cs="Arial"/>
          <w:bCs/>
          <w:u w:val="single"/>
        </w:rPr>
        <w:t>Fire reform - Memorandum of Understanding</w:t>
      </w:r>
      <w:r w:rsidR="00E96B6C" w:rsidRPr="00FB627D">
        <w:rPr>
          <w:rFonts w:ascii="Arial" w:hAnsi="Arial" w:cs="Arial"/>
          <w:bCs/>
          <w:u w:val="single"/>
        </w:rPr>
        <w:t xml:space="preserve"> (MoU)</w:t>
      </w:r>
    </w:p>
    <w:p w14:paraId="4EDC4BF7" w14:textId="77777777" w:rsidR="00454EC6" w:rsidRPr="00FB627D" w:rsidRDefault="00454EC6" w:rsidP="00583055">
      <w:pPr>
        <w:rPr>
          <w:rFonts w:ascii="Arial" w:hAnsi="Arial" w:cs="Arial"/>
        </w:rPr>
      </w:pPr>
    </w:p>
    <w:p w14:paraId="749A43BF" w14:textId="2FE09912" w:rsidR="00583055" w:rsidRPr="00FB627D" w:rsidRDefault="00583055" w:rsidP="00FB627D">
      <w:pPr>
        <w:pStyle w:val="ListParagraph"/>
        <w:numPr>
          <w:ilvl w:val="0"/>
          <w:numId w:val="28"/>
        </w:numPr>
        <w:rPr>
          <w:rFonts w:ascii="Arial" w:hAnsi="Arial" w:cs="Arial"/>
        </w:rPr>
      </w:pPr>
      <w:r w:rsidRPr="00FB627D">
        <w:rPr>
          <w:rFonts w:ascii="Arial" w:hAnsi="Arial" w:cs="Arial"/>
        </w:rPr>
        <w:t xml:space="preserve">LGA policy and workforce teams have driven forward the creation of a </w:t>
      </w:r>
      <w:r w:rsidR="00E96B6C" w:rsidRPr="00FB627D">
        <w:rPr>
          <w:rFonts w:ascii="Arial" w:hAnsi="Arial" w:cs="Arial"/>
        </w:rPr>
        <w:t xml:space="preserve">MoU </w:t>
      </w:r>
      <w:r w:rsidRPr="00FB627D">
        <w:rPr>
          <w:rFonts w:ascii="Arial" w:hAnsi="Arial" w:cs="Arial"/>
        </w:rPr>
        <w:t xml:space="preserve">on equality, diversity, behaviours and organisational culture in the fire service. The MoU commits its signatories to demonstrably uphold and promote the principles it sets out, deliver the commitments within it and take the specific actions it contains within the timetable agreed. In particular the MoU states that </w:t>
      </w:r>
      <w:r w:rsidR="00E96B6C" w:rsidRPr="00FB627D">
        <w:rPr>
          <w:rFonts w:ascii="Arial" w:hAnsi="Arial" w:cs="Arial"/>
        </w:rPr>
        <w:t xml:space="preserve">the </w:t>
      </w:r>
      <w:r w:rsidRPr="00FB627D">
        <w:rPr>
          <w:rFonts w:ascii="Arial" w:hAnsi="Arial" w:cs="Arial"/>
        </w:rPr>
        <w:t>fire and rescue service as a whole should reflect the diversity of the communit</w:t>
      </w:r>
      <w:r w:rsidR="00E96B6C" w:rsidRPr="00FB627D">
        <w:rPr>
          <w:rFonts w:ascii="Arial" w:hAnsi="Arial" w:cs="Arial"/>
        </w:rPr>
        <w:t>ies</w:t>
      </w:r>
      <w:r w:rsidRPr="00FB627D">
        <w:rPr>
          <w:rFonts w:ascii="Arial" w:hAnsi="Arial" w:cs="Arial"/>
        </w:rPr>
        <w:t xml:space="preserve"> it serves. The employment of specific groups within the service, such as firefighting personnel should also meet this requirement. A more diverse workforce is needed at all levels up to and including senior managers. </w:t>
      </w:r>
    </w:p>
    <w:p w14:paraId="5D25E67A" w14:textId="77777777" w:rsidR="00583055" w:rsidRPr="00FB627D" w:rsidRDefault="00583055" w:rsidP="00583055">
      <w:pPr>
        <w:pStyle w:val="Default"/>
        <w:ind w:left="567"/>
        <w:rPr>
          <w:sz w:val="22"/>
          <w:szCs w:val="22"/>
        </w:rPr>
      </w:pPr>
    </w:p>
    <w:p w14:paraId="1207CC56" w14:textId="77777777" w:rsidR="00583055" w:rsidRPr="00FB627D" w:rsidRDefault="00583055" w:rsidP="00FB627D">
      <w:pPr>
        <w:pStyle w:val="Default"/>
        <w:numPr>
          <w:ilvl w:val="0"/>
          <w:numId w:val="28"/>
        </w:numPr>
        <w:rPr>
          <w:sz w:val="22"/>
          <w:szCs w:val="22"/>
        </w:rPr>
      </w:pPr>
      <w:r w:rsidRPr="00FB627D">
        <w:rPr>
          <w:sz w:val="22"/>
          <w:szCs w:val="22"/>
        </w:rPr>
        <w:t>The LGA is one of a number of signatories to the final document who also include:</w:t>
      </w:r>
    </w:p>
    <w:p w14:paraId="1FC4B8C5" w14:textId="77777777" w:rsidR="00E96B6C" w:rsidRPr="00FB627D" w:rsidRDefault="00E96B6C" w:rsidP="00583055">
      <w:pPr>
        <w:pStyle w:val="Default"/>
        <w:rPr>
          <w:sz w:val="22"/>
          <w:szCs w:val="22"/>
        </w:rPr>
      </w:pPr>
    </w:p>
    <w:p w14:paraId="5036B5F0" w14:textId="77777777" w:rsidR="00583055" w:rsidRPr="00FB627D" w:rsidRDefault="00583055" w:rsidP="00FB627D">
      <w:pPr>
        <w:pStyle w:val="ListParagraph"/>
        <w:numPr>
          <w:ilvl w:val="1"/>
          <w:numId w:val="28"/>
        </w:numPr>
        <w:autoSpaceDN w:val="0"/>
        <w:spacing w:after="160" w:line="252" w:lineRule="auto"/>
        <w:ind w:left="1276" w:hanging="857"/>
        <w:contextualSpacing/>
        <w:jc w:val="both"/>
        <w:rPr>
          <w:rFonts w:ascii="Arial" w:hAnsi="Arial" w:cs="Arial"/>
          <w:szCs w:val="22"/>
        </w:rPr>
      </w:pPr>
      <w:r w:rsidRPr="00FB627D">
        <w:rPr>
          <w:rFonts w:ascii="Arial" w:hAnsi="Arial" w:cs="Arial"/>
          <w:szCs w:val="22"/>
        </w:rPr>
        <w:t>Asian Fire Service Association</w:t>
      </w:r>
    </w:p>
    <w:p w14:paraId="5DEEA8F4" w14:textId="77777777" w:rsidR="00583055" w:rsidRPr="00FB627D" w:rsidRDefault="00583055" w:rsidP="00FB627D">
      <w:pPr>
        <w:pStyle w:val="ListParagraph"/>
        <w:numPr>
          <w:ilvl w:val="1"/>
          <w:numId w:val="28"/>
        </w:numPr>
        <w:autoSpaceDN w:val="0"/>
        <w:spacing w:after="160" w:line="252" w:lineRule="auto"/>
        <w:ind w:left="1276" w:hanging="857"/>
        <w:contextualSpacing/>
        <w:jc w:val="both"/>
        <w:rPr>
          <w:rFonts w:ascii="Arial" w:hAnsi="Arial" w:cs="Arial"/>
          <w:szCs w:val="22"/>
        </w:rPr>
      </w:pPr>
      <w:r w:rsidRPr="00FB627D">
        <w:rPr>
          <w:rFonts w:ascii="Arial" w:hAnsi="Arial" w:cs="Arial"/>
          <w:szCs w:val="22"/>
        </w:rPr>
        <w:t>Association of Principle Fire Officers</w:t>
      </w:r>
    </w:p>
    <w:p w14:paraId="27D480A5" w14:textId="77777777" w:rsidR="00583055" w:rsidRPr="00FB627D" w:rsidRDefault="00583055" w:rsidP="00FB627D">
      <w:pPr>
        <w:pStyle w:val="ListParagraph"/>
        <w:numPr>
          <w:ilvl w:val="1"/>
          <w:numId w:val="28"/>
        </w:numPr>
        <w:autoSpaceDN w:val="0"/>
        <w:spacing w:after="160" w:line="252" w:lineRule="auto"/>
        <w:ind w:left="1276" w:hanging="857"/>
        <w:contextualSpacing/>
        <w:jc w:val="both"/>
        <w:rPr>
          <w:rFonts w:ascii="Arial" w:hAnsi="Arial" w:cs="Arial"/>
          <w:szCs w:val="22"/>
        </w:rPr>
      </w:pPr>
      <w:r w:rsidRPr="00FB627D">
        <w:rPr>
          <w:rFonts w:ascii="Arial" w:hAnsi="Arial" w:cs="Arial"/>
          <w:szCs w:val="22"/>
        </w:rPr>
        <w:t>Chief Fire Officers Association/National Fire Chiefs Council</w:t>
      </w:r>
    </w:p>
    <w:p w14:paraId="1E57F1EA" w14:textId="77777777" w:rsidR="00583055" w:rsidRPr="00FB627D" w:rsidRDefault="00583055" w:rsidP="00FB627D">
      <w:pPr>
        <w:pStyle w:val="ListParagraph"/>
        <w:numPr>
          <w:ilvl w:val="1"/>
          <w:numId w:val="28"/>
        </w:numPr>
        <w:autoSpaceDN w:val="0"/>
        <w:spacing w:after="160" w:line="252" w:lineRule="auto"/>
        <w:ind w:left="1276" w:hanging="857"/>
        <w:contextualSpacing/>
        <w:jc w:val="both"/>
        <w:rPr>
          <w:rFonts w:ascii="Arial" w:hAnsi="Arial" w:cs="Arial"/>
          <w:szCs w:val="22"/>
        </w:rPr>
      </w:pPr>
      <w:r w:rsidRPr="00FB627D">
        <w:rPr>
          <w:rFonts w:ascii="Arial" w:hAnsi="Arial" w:cs="Arial"/>
          <w:szCs w:val="22"/>
        </w:rPr>
        <w:t>Fire Brigades Union</w:t>
      </w:r>
    </w:p>
    <w:p w14:paraId="2EE86BC9" w14:textId="77777777" w:rsidR="00583055" w:rsidRPr="00FB627D" w:rsidRDefault="00583055" w:rsidP="00FB627D">
      <w:pPr>
        <w:pStyle w:val="ListParagraph"/>
        <w:numPr>
          <w:ilvl w:val="1"/>
          <w:numId w:val="28"/>
        </w:numPr>
        <w:autoSpaceDN w:val="0"/>
        <w:spacing w:after="160" w:line="252" w:lineRule="auto"/>
        <w:ind w:left="1276" w:hanging="857"/>
        <w:contextualSpacing/>
        <w:jc w:val="both"/>
        <w:rPr>
          <w:rFonts w:ascii="Arial" w:hAnsi="Arial" w:cs="Arial"/>
          <w:szCs w:val="22"/>
        </w:rPr>
      </w:pPr>
      <w:r w:rsidRPr="00FB627D">
        <w:rPr>
          <w:rFonts w:ascii="Arial" w:hAnsi="Arial" w:cs="Arial"/>
          <w:szCs w:val="22"/>
        </w:rPr>
        <w:t>Fire Officers’ Association</w:t>
      </w:r>
    </w:p>
    <w:p w14:paraId="257BC654" w14:textId="77777777" w:rsidR="00583055" w:rsidRPr="00FB627D" w:rsidRDefault="00583055" w:rsidP="00FB627D">
      <w:pPr>
        <w:pStyle w:val="ListParagraph"/>
        <w:numPr>
          <w:ilvl w:val="1"/>
          <w:numId w:val="28"/>
        </w:numPr>
        <w:autoSpaceDN w:val="0"/>
        <w:spacing w:after="160" w:line="252" w:lineRule="auto"/>
        <w:ind w:left="1276" w:hanging="857"/>
        <w:contextualSpacing/>
        <w:jc w:val="both"/>
        <w:rPr>
          <w:rFonts w:ascii="Arial" w:hAnsi="Arial" w:cs="Arial"/>
          <w:szCs w:val="22"/>
        </w:rPr>
      </w:pPr>
      <w:r w:rsidRPr="00FB627D">
        <w:rPr>
          <w:rFonts w:ascii="Arial" w:hAnsi="Arial" w:cs="Arial"/>
          <w:szCs w:val="22"/>
        </w:rPr>
        <w:t xml:space="preserve">GMB Union </w:t>
      </w:r>
    </w:p>
    <w:p w14:paraId="187442DC" w14:textId="0C995172" w:rsidR="00583055" w:rsidRPr="00FB627D" w:rsidRDefault="005C498E" w:rsidP="00FB627D">
      <w:pPr>
        <w:pStyle w:val="ListParagraph"/>
        <w:numPr>
          <w:ilvl w:val="1"/>
          <w:numId w:val="28"/>
        </w:numPr>
        <w:autoSpaceDN w:val="0"/>
        <w:spacing w:after="160" w:line="252" w:lineRule="auto"/>
        <w:ind w:left="1276" w:hanging="857"/>
        <w:contextualSpacing/>
        <w:jc w:val="both"/>
        <w:rPr>
          <w:rFonts w:ascii="Arial" w:hAnsi="Arial" w:cs="Arial"/>
          <w:szCs w:val="22"/>
        </w:rPr>
      </w:pPr>
      <w:proofErr w:type="spellStart"/>
      <w:r w:rsidRPr="00FB627D">
        <w:rPr>
          <w:rFonts w:ascii="Arial" w:hAnsi="Arial" w:cs="Arial"/>
          <w:szCs w:val="22"/>
        </w:rPr>
        <w:t>Q</w:t>
      </w:r>
      <w:r w:rsidR="00583055" w:rsidRPr="00FB627D">
        <w:rPr>
          <w:rFonts w:ascii="Arial" w:hAnsi="Arial" w:cs="Arial"/>
          <w:szCs w:val="22"/>
        </w:rPr>
        <w:t>uiltbag</w:t>
      </w:r>
      <w:proofErr w:type="spellEnd"/>
      <w:r w:rsidR="00583055" w:rsidRPr="00FB627D">
        <w:rPr>
          <w:rFonts w:ascii="Arial" w:hAnsi="Arial" w:cs="Arial"/>
          <w:szCs w:val="22"/>
        </w:rPr>
        <w:t xml:space="preserve"> </w:t>
      </w:r>
    </w:p>
    <w:p w14:paraId="3F35AA32" w14:textId="77777777" w:rsidR="00583055" w:rsidRPr="00FB627D" w:rsidRDefault="00583055" w:rsidP="00FB627D">
      <w:pPr>
        <w:pStyle w:val="ListParagraph"/>
        <w:numPr>
          <w:ilvl w:val="1"/>
          <w:numId w:val="28"/>
        </w:numPr>
        <w:autoSpaceDN w:val="0"/>
        <w:spacing w:after="160" w:line="252" w:lineRule="auto"/>
        <w:ind w:left="1276" w:hanging="857"/>
        <w:contextualSpacing/>
        <w:jc w:val="both"/>
        <w:rPr>
          <w:rFonts w:ascii="Arial" w:hAnsi="Arial" w:cs="Arial"/>
          <w:szCs w:val="22"/>
        </w:rPr>
      </w:pPr>
      <w:r w:rsidRPr="00FB627D">
        <w:rPr>
          <w:rFonts w:ascii="Arial" w:hAnsi="Arial" w:cs="Arial"/>
          <w:szCs w:val="22"/>
        </w:rPr>
        <w:t>Retained Firefighters Union</w:t>
      </w:r>
    </w:p>
    <w:p w14:paraId="08CF0374" w14:textId="77777777" w:rsidR="00583055" w:rsidRPr="00FB627D" w:rsidRDefault="00583055" w:rsidP="00FB627D">
      <w:pPr>
        <w:pStyle w:val="ListParagraph"/>
        <w:numPr>
          <w:ilvl w:val="1"/>
          <w:numId w:val="28"/>
        </w:numPr>
        <w:autoSpaceDN w:val="0"/>
        <w:spacing w:after="160" w:line="252" w:lineRule="auto"/>
        <w:ind w:left="1276" w:hanging="857"/>
        <w:contextualSpacing/>
        <w:jc w:val="both"/>
        <w:rPr>
          <w:rFonts w:ascii="Arial" w:hAnsi="Arial" w:cs="Arial"/>
          <w:szCs w:val="22"/>
        </w:rPr>
      </w:pPr>
      <w:r w:rsidRPr="00FB627D">
        <w:rPr>
          <w:rFonts w:ascii="Arial" w:hAnsi="Arial" w:cs="Arial"/>
          <w:szCs w:val="22"/>
        </w:rPr>
        <w:t>Stonewall</w:t>
      </w:r>
    </w:p>
    <w:p w14:paraId="08C430F7" w14:textId="77777777" w:rsidR="00583055" w:rsidRPr="00FB627D" w:rsidRDefault="00583055" w:rsidP="00FB627D">
      <w:pPr>
        <w:pStyle w:val="ListParagraph"/>
        <w:numPr>
          <w:ilvl w:val="1"/>
          <w:numId w:val="28"/>
        </w:numPr>
        <w:autoSpaceDN w:val="0"/>
        <w:spacing w:after="160" w:line="252" w:lineRule="auto"/>
        <w:ind w:left="1276" w:hanging="857"/>
        <w:contextualSpacing/>
        <w:jc w:val="both"/>
        <w:rPr>
          <w:rFonts w:ascii="Arial" w:hAnsi="Arial" w:cs="Arial"/>
          <w:szCs w:val="22"/>
        </w:rPr>
      </w:pPr>
      <w:r w:rsidRPr="00FB627D">
        <w:rPr>
          <w:rFonts w:ascii="Arial" w:hAnsi="Arial" w:cs="Arial"/>
          <w:szCs w:val="22"/>
        </w:rPr>
        <w:t>Unison</w:t>
      </w:r>
    </w:p>
    <w:p w14:paraId="69973391" w14:textId="1FD7F2A4" w:rsidR="00583055" w:rsidRPr="00FB627D" w:rsidRDefault="00583055" w:rsidP="00FB627D">
      <w:pPr>
        <w:pStyle w:val="ListParagraph"/>
        <w:numPr>
          <w:ilvl w:val="1"/>
          <w:numId w:val="28"/>
        </w:numPr>
        <w:autoSpaceDN w:val="0"/>
        <w:spacing w:after="160" w:line="252" w:lineRule="auto"/>
        <w:ind w:left="1276" w:hanging="857"/>
        <w:contextualSpacing/>
        <w:jc w:val="both"/>
        <w:rPr>
          <w:rFonts w:ascii="Arial" w:hAnsi="Arial" w:cs="Arial"/>
          <w:szCs w:val="22"/>
        </w:rPr>
      </w:pPr>
      <w:r w:rsidRPr="00FB627D">
        <w:rPr>
          <w:rFonts w:ascii="Arial" w:hAnsi="Arial" w:cs="Arial"/>
          <w:szCs w:val="22"/>
        </w:rPr>
        <w:t>Women In The Fire Service</w:t>
      </w:r>
      <w:r w:rsidR="00E96B6C" w:rsidRPr="00FB627D">
        <w:rPr>
          <w:rFonts w:ascii="Arial" w:hAnsi="Arial" w:cs="Arial"/>
          <w:szCs w:val="22"/>
        </w:rPr>
        <w:t>.</w:t>
      </w:r>
    </w:p>
    <w:p w14:paraId="5B95C30A" w14:textId="77777777" w:rsidR="00454EC6" w:rsidRPr="00FB627D" w:rsidRDefault="00454EC6" w:rsidP="00454EC6">
      <w:pPr>
        <w:autoSpaceDN w:val="0"/>
        <w:spacing w:after="160" w:line="252" w:lineRule="auto"/>
        <w:contextualSpacing/>
        <w:jc w:val="both"/>
        <w:rPr>
          <w:rFonts w:ascii="Arial" w:hAnsi="Arial" w:cs="Arial"/>
          <w:color w:val="FF0000"/>
          <w:szCs w:val="22"/>
        </w:rPr>
      </w:pPr>
    </w:p>
    <w:p w14:paraId="68A23896" w14:textId="45335C43" w:rsidR="00583055" w:rsidRPr="00FB627D" w:rsidRDefault="00583055" w:rsidP="00583055">
      <w:pPr>
        <w:rPr>
          <w:rFonts w:ascii="Arial" w:hAnsi="Arial" w:cs="Arial"/>
          <w:bCs/>
          <w:szCs w:val="22"/>
          <w:u w:val="single"/>
        </w:rPr>
      </w:pPr>
      <w:r w:rsidRPr="00FB627D">
        <w:rPr>
          <w:rFonts w:ascii="Arial" w:hAnsi="Arial" w:cs="Arial"/>
          <w:bCs/>
          <w:u w:val="single"/>
        </w:rPr>
        <w:t>Fire reform - “An inclusive service: the 21</w:t>
      </w:r>
      <w:r w:rsidRPr="00FB627D">
        <w:rPr>
          <w:rFonts w:ascii="Arial" w:hAnsi="Arial" w:cs="Arial"/>
          <w:bCs/>
          <w:u w:val="single"/>
          <w:vertAlign w:val="superscript"/>
        </w:rPr>
        <w:t>st</w:t>
      </w:r>
      <w:r w:rsidRPr="00FB627D">
        <w:rPr>
          <w:rFonts w:ascii="Arial" w:hAnsi="Arial" w:cs="Arial"/>
          <w:bCs/>
          <w:u w:val="single"/>
        </w:rPr>
        <w:t xml:space="preserve"> century fire and rescue service”</w:t>
      </w:r>
    </w:p>
    <w:p w14:paraId="7E5B08EC" w14:textId="77777777" w:rsidR="00454EC6" w:rsidRPr="00FB627D" w:rsidRDefault="00454EC6" w:rsidP="00583055">
      <w:pPr>
        <w:rPr>
          <w:rFonts w:ascii="Arial" w:hAnsi="Arial" w:cs="Arial"/>
        </w:rPr>
      </w:pPr>
    </w:p>
    <w:p w14:paraId="3261B673" w14:textId="1A08C175" w:rsidR="00583055" w:rsidRPr="00FB627D" w:rsidRDefault="00583055" w:rsidP="00FB627D">
      <w:pPr>
        <w:pStyle w:val="ListParagraph"/>
        <w:numPr>
          <w:ilvl w:val="0"/>
          <w:numId w:val="28"/>
        </w:numPr>
        <w:rPr>
          <w:rFonts w:ascii="Arial" w:hAnsi="Arial" w:cs="Arial"/>
        </w:rPr>
      </w:pPr>
      <w:r w:rsidRPr="00FB627D">
        <w:rPr>
          <w:rFonts w:ascii="Arial" w:hAnsi="Arial" w:cs="Arial"/>
        </w:rPr>
        <w:t xml:space="preserve">At the LGA’s Annual Fire Conference and Exhibition, taking place on 7-8 March in Gateshead, the LGA </w:t>
      </w:r>
      <w:r w:rsidR="007D2E31" w:rsidRPr="00FB627D">
        <w:rPr>
          <w:rFonts w:ascii="Arial" w:hAnsi="Arial" w:cs="Arial"/>
        </w:rPr>
        <w:t xml:space="preserve">is </w:t>
      </w:r>
      <w:r w:rsidRPr="00FB627D">
        <w:rPr>
          <w:rFonts w:ascii="Arial" w:hAnsi="Arial" w:cs="Arial"/>
        </w:rPr>
        <w:t xml:space="preserve">launching </w:t>
      </w:r>
      <w:r w:rsidR="007D2E31" w:rsidRPr="00FB627D">
        <w:rPr>
          <w:rFonts w:ascii="Arial" w:hAnsi="Arial" w:cs="Arial"/>
        </w:rPr>
        <w:t xml:space="preserve">this </w:t>
      </w:r>
      <w:r w:rsidRPr="00FB627D">
        <w:rPr>
          <w:rFonts w:ascii="Arial" w:hAnsi="Arial" w:cs="Arial"/>
        </w:rPr>
        <w:t xml:space="preserve">new publication to support the fire and rescue service to improve its equality, diversity and inclusion. </w:t>
      </w:r>
      <w:r w:rsidR="007D2E31" w:rsidRPr="00FB627D">
        <w:rPr>
          <w:rFonts w:ascii="Arial" w:hAnsi="Arial" w:cs="Arial"/>
        </w:rPr>
        <w:t xml:space="preserve">It </w:t>
      </w:r>
      <w:r w:rsidRPr="00FB627D">
        <w:rPr>
          <w:rFonts w:ascii="Arial" w:hAnsi="Arial" w:cs="Arial"/>
        </w:rPr>
        <w:t>includes contributions from a number of organisations as well as case studies and questions for members.</w:t>
      </w:r>
    </w:p>
    <w:p w14:paraId="5F9107B9" w14:textId="79F98D0B" w:rsidR="00583055" w:rsidRPr="00FB627D" w:rsidRDefault="00583055" w:rsidP="00E4710D">
      <w:pPr>
        <w:rPr>
          <w:rFonts w:ascii="Arial" w:hAnsi="Arial" w:cs="Arial"/>
        </w:rPr>
      </w:pPr>
    </w:p>
    <w:p w14:paraId="1A1713CD" w14:textId="77777777" w:rsidR="0008033C" w:rsidRPr="00FB627D" w:rsidRDefault="0008033C" w:rsidP="0008033C">
      <w:pPr>
        <w:rPr>
          <w:rFonts w:ascii="Arial" w:hAnsi="Arial" w:cs="Arial"/>
          <w:b/>
          <w:szCs w:val="22"/>
        </w:rPr>
      </w:pPr>
      <w:r w:rsidRPr="00FB627D">
        <w:rPr>
          <w:rFonts w:ascii="Arial" w:hAnsi="Arial" w:cs="Arial"/>
          <w:b/>
          <w:szCs w:val="22"/>
        </w:rPr>
        <w:t xml:space="preserve">Resources </w:t>
      </w:r>
      <w:r w:rsidR="0088476B" w:rsidRPr="00FB627D">
        <w:rPr>
          <w:rFonts w:ascii="Arial" w:hAnsi="Arial" w:cs="Arial"/>
          <w:b/>
          <w:szCs w:val="22"/>
        </w:rPr>
        <w:t>Board</w:t>
      </w:r>
    </w:p>
    <w:p w14:paraId="42ED3868" w14:textId="1D63E923" w:rsidR="00291457" w:rsidRPr="00FB627D" w:rsidRDefault="00291457" w:rsidP="0008033C">
      <w:pPr>
        <w:rPr>
          <w:rFonts w:ascii="Arial" w:hAnsi="Arial" w:cs="Arial"/>
          <w:b/>
          <w:szCs w:val="22"/>
          <w:u w:val="single"/>
        </w:rPr>
      </w:pPr>
    </w:p>
    <w:p w14:paraId="3E403161" w14:textId="77777777" w:rsidR="007A03E6" w:rsidRPr="00FB627D" w:rsidRDefault="007A03E6" w:rsidP="003A4EBA">
      <w:pPr>
        <w:rPr>
          <w:rFonts w:ascii="Arial" w:hAnsi="Arial" w:cs="Arial"/>
          <w:color w:val="000000"/>
          <w:u w:val="single"/>
          <w:lang w:val="en"/>
        </w:rPr>
      </w:pPr>
      <w:r w:rsidRPr="00FB627D">
        <w:rPr>
          <w:rFonts w:ascii="Arial" w:hAnsi="Arial" w:cs="Arial"/>
          <w:color w:val="000000"/>
          <w:u w:val="single"/>
          <w:lang w:val="en"/>
        </w:rPr>
        <w:t>Workforce</w:t>
      </w:r>
    </w:p>
    <w:p w14:paraId="7499A168" w14:textId="77777777" w:rsidR="005752EB" w:rsidRPr="00FB627D" w:rsidRDefault="005752EB" w:rsidP="007A03E6">
      <w:pPr>
        <w:rPr>
          <w:rFonts w:ascii="Arial" w:hAnsi="Arial" w:cs="Arial"/>
          <w:b/>
        </w:rPr>
      </w:pPr>
    </w:p>
    <w:p w14:paraId="54E3D217" w14:textId="534D6E65" w:rsidR="00AA6C5F" w:rsidRPr="00B664D4" w:rsidRDefault="00B00214" w:rsidP="007A03E6">
      <w:pPr>
        <w:pStyle w:val="ListParagraph"/>
        <w:numPr>
          <w:ilvl w:val="0"/>
          <w:numId w:val="28"/>
        </w:numPr>
        <w:rPr>
          <w:rFonts w:ascii="Arial" w:hAnsi="Arial" w:cs="Arial"/>
        </w:rPr>
      </w:pPr>
      <w:r w:rsidRPr="00FB627D">
        <w:rPr>
          <w:rFonts w:ascii="Arial" w:hAnsi="Arial" w:cs="Arial"/>
        </w:rPr>
        <w:t>The Come Back to Social Work pilot has now concluded resulting in 20 people being retrained and ready to re-enter the profession. Councils have been very supportive of the Campaign and we are confident all 20 will soon be offered employment within the sector. The success of the pilot means we are now in discussions with the Department for Education and the Department of Health about running the campaign again on a national basis, providing retraining opportunities for potentially up to 100 former social workers.</w:t>
      </w:r>
      <w:bookmarkStart w:id="0" w:name="_GoBack"/>
      <w:bookmarkEnd w:id="0"/>
    </w:p>
    <w:sectPr w:rsidR="00AA6C5F" w:rsidRPr="00B664D4" w:rsidSect="00EB0DE5">
      <w:headerReference w:type="default" r:id="rId11"/>
      <w:footerReference w:type="default" r:id="rId12"/>
      <w:headerReference w:type="first" r:id="rId13"/>
      <w:pgSz w:w="11907" w:h="16840" w:code="9"/>
      <w:pgMar w:top="1418" w:right="1418" w:bottom="1418" w:left="1418" w:header="113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ECF36E" w14:textId="77777777" w:rsidR="00454EC6" w:rsidRDefault="00454EC6">
      <w:r>
        <w:separator/>
      </w:r>
    </w:p>
  </w:endnote>
  <w:endnote w:type="continuationSeparator" w:id="0">
    <w:p w14:paraId="0AECF36F" w14:textId="77777777" w:rsidR="00454EC6" w:rsidRDefault="00454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Times New Roman"/>
    <w:panose1 w:val="020B0500000000000000"/>
    <w:charset w:val="00"/>
    <w:family w:val="auto"/>
    <w:pitch w:val="default"/>
  </w:font>
  <w:font w:name="Frutiger 55 Roman">
    <w:altName w:val="Impact"/>
    <w:panose1 w:val="020B08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2C01F" w14:textId="77777777" w:rsidR="00454EC6" w:rsidRDefault="00454EC6">
    <w:pPr>
      <w:pStyle w:val="Footer"/>
      <w:tabs>
        <w:tab w:val="clear" w:pos="4153"/>
        <w:tab w:val="clear" w:pos="8306"/>
        <w:tab w:val="right" w:pos="9923"/>
      </w:tabs>
      <w:ind w:right="-994"/>
      <w:rPr>
        <w:sz w:val="12"/>
      </w:rPr>
    </w:pPr>
    <w:r>
      <w:rPr>
        <w:rFonts w:ascii="Frutiger 55 Roman" w:hAnsi="Frutiger 55 Roman"/>
        <w:b/>
        <w:sz w:val="16"/>
      </w:rPr>
      <w:t xml:space="preserve">   </w:t>
    </w:r>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ECF36C" w14:textId="77777777" w:rsidR="00454EC6" w:rsidRDefault="00454EC6">
      <w:r>
        <w:separator/>
      </w:r>
    </w:p>
  </w:footnote>
  <w:footnote w:type="continuationSeparator" w:id="0">
    <w:p w14:paraId="0AECF36D" w14:textId="77777777" w:rsidR="00454EC6" w:rsidRDefault="00454E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39" w:type="dxa"/>
      <w:tblLook w:val="01E0" w:firstRow="1" w:lastRow="1" w:firstColumn="1" w:lastColumn="1" w:noHBand="0" w:noVBand="0"/>
    </w:tblPr>
    <w:tblGrid>
      <w:gridCol w:w="4928"/>
      <w:gridCol w:w="4111"/>
    </w:tblGrid>
    <w:tr w:rsidR="00454EC6" w:rsidRPr="00113B86" w14:paraId="136A0ACF" w14:textId="77777777" w:rsidTr="00454EC6">
      <w:trPr>
        <w:trHeight w:val="274"/>
      </w:trPr>
      <w:tc>
        <w:tcPr>
          <w:tcW w:w="4928" w:type="dxa"/>
          <w:vMerge w:val="restart"/>
          <w:shd w:val="clear" w:color="auto" w:fill="auto"/>
        </w:tcPr>
        <w:p w14:paraId="32DD50FF" w14:textId="77777777" w:rsidR="00454EC6" w:rsidRPr="00113B86" w:rsidRDefault="00454EC6" w:rsidP="00454EC6">
          <w:pPr>
            <w:tabs>
              <w:tab w:val="center" w:pos="2923"/>
              <w:tab w:val="center" w:pos="4153"/>
              <w:tab w:val="right" w:pos="8306"/>
            </w:tabs>
            <w:rPr>
              <w:rFonts w:ascii="Arial" w:hAnsi="Arial" w:cs="Arial"/>
              <w:noProof/>
              <w:sz w:val="44"/>
              <w:szCs w:val="44"/>
            </w:rPr>
          </w:pPr>
          <w:r w:rsidRPr="00113B86">
            <w:rPr>
              <w:rFonts w:ascii="Arial" w:hAnsi="Arial" w:cs="Arial"/>
              <w:noProof/>
              <w:sz w:val="44"/>
              <w:szCs w:val="44"/>
            </w:rPr>
            <w:drawing>
              <wp:inline distT="0" distB="0" distL="0" distR="0" wp14:anchorId="434CA1F6" wp14:editId="6DEE3ACC">
                <wp:extent cx="1080770" cy="641350"/>
                <wp:effectExtent l="0" t="0" r="5080" b="6350"/>
                <wp:docPr id="4" name="Picture 4"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770" cy="641350"/>
                        </a:xfrm>
                        <a:prstGeom prst="rect">
                          <a:avLst/>
                        </a:prstGeom>
                        <a:noFill/>
                        <a:ln>
                          <a:noFill/>
                        </a:ln>
                      </pic:spPr>
                    </pic:pic>
                  </a:graphicData>
                </a:graphic>
              </wp:inline>
            </w:drawing>
          </w:r>
        </w:p>
      </w:tc>
      <w:tc>
        <w:tcPr>
          <w:tcW w:w="4111" w:type="dxa"/>
          <w:vAlign w:val="center"/>
        </w:tcPr>
        <w:p w14:paraId="6F7916BC" w14:textId="77777777" w:rsidR="00454EC6" w:rsidRPr="00113B86" w:rsidRDefault="00454EC6" w:rsidP="00454EC6">
          <w:pPr>
            <w:tabs>
              <w:tab w:val="center" w:pos="4153"/>
              <w:tab w:val="right" w:pos="8306"/>
            </w:tabs>
            <w:rPr>
              <w:rFonts w:ascii="Arial" w:hAnsi="Arial" w:cs="Arial"/>
              <w:b/>
            </w:rPr>
          </w:pPr>
        </w:p>
      </w:tc>
    </w:tr>
    <w:tr w:rsidR="00454EC6" w:rsidRPr="00113B86" w14:paraId="4D56A430" w14:textId="77777777" w:rsidTr="00454EC6">
      <w:trPr>
        <w:trHeight w:val="85"/>
      </w:trPr>
      <w:tc>
        <w:tcPr>
          <w:tcW w:w="4928" w:type="dxa"/>
          <w:vMerge/>
          <w:shd w:val="clear" w:color="auto" w:fill="auto"/>
        </w:tcPr>
        <w:p w14:paraId="662D58E0" w14:textId="77777777" w:rsidR="00454EC6" w:rsidRPr="00113B86" w:rsidRDefault="00454EC6" w:rsidP="00454EC6">
          <w:pPr>
            <w:tabs>
              <w:tab w:val="center" w:pos="2923"/>
            </w:tabs>
          </w:pPr>
        </w:p>
      </w:tc>
      <w:tc>
        <w:tcPr>
          <w:tcW w:w="4111" w:type="dxa"/>
          <w:vAlign w:val="center"/>
        </w:tcPr>
        <w:p w14:paraId="74B7739F" w14:textId="77777777" w:rsidR="00454EC6" w:rsidRPr="00113B86" w:rsidRDefault="00454EC6" w:rsidP="00454EC6">
          <w:pPr>
            <w:tabs>
              <w:tab w:val="center" w:pos="4153"/>
              <w:tab w:val="right" w:pos="8306"/>
            </w:tabs>
            <w:rPr>
              <w:rFonts w:ascii="Arial" w:hAnsi="Arial" w:cs="Arial"/>
              <w:b/>
            </w:rPr>
          </w:pPr>
          <w:r w:rsidRPr="00113B86">
            <w:rPr>
              <w:rFonts w:ascii="Arial" w:hAnsi="Arial" w:cs="Arial"/>
              <w:b/>
            </w:rPr>
            <w:t>Improvement and Innovation Board</w:t>
          </w:r>
        </w:p>
        <w:p w14:paraId="3CDB8A55" w14:textId="77777777" w:rsidR="00454EC6" w:rsidRPr="00113B86" w:rsidRDefault="00454EC6" w:rsidP="00454EC6">
          <w:pPr>
            <w:tabs>
              <w:tab w:val="center" w:pos="4153"/>
              <w:tab w:val="right" w:pos="8306"/>
            </w:tabs>
            <w:rPr>
              <w:rFonts w:ascii="Arial" w:hAnsi="Arial" w:cs="Arial"/>
              <w:b/>
              <w:szCs w:val="22"/>
            </w:rPr>
          </w:pPr>
        </w:p>
      </w:tc>
    </w:tr>
    <w:tr w:rsidR="00454EC6" w:rsidRPr="00113B86" w14:paraId="7128BFA2" w14:textId="77777777" w:rsidTr="00454EC6">
      <w:trPr>
        <w:trHeight w:val="173"/>
      </w:trPr>
      <w:tc>
        <w:tcPr>
          <w:tcW w:w="4928" w:type="dxa"/>
          <w:vMerge/>
          <w:shd w:val="clear" w:color="auto" w:fill="auto"/>
        </w:tcPr>
        <w:p w14:paraId="0FE59FF4" w14:textId="77777777" w:rsidR="00454EC6" w:rsidRPr="00113B86" w:rsidRDefault="00454EC6" w:rsidP="00454EC6">
          <w:pPr>
            <w:tabs>
              <w:tab w:val="center" w:pos="4153"/>
              <w:tab w:val="right" w:pos="8306"/>
            </w:tabs>
          </w:pPr>
        </w:p>
      </w:tc>
      <w:tc>
        <w:tcPr>
          <w:tcW w:w="4111" w:type="dxa"/>
          <w:vAlign w:val="center"/>
        </w:tcPr>
        <w:p w14:paraId="7736174C" w14:textId="77777777" w:rsidR="00454EC6" w:rsidRPr="00113B86" w:rsidRDefault="00454EC6" w:rsidP="00454EC6">
          <w:pPr>
            <w:tabs>
              <w:tab w:val="center" w:pos="4153"/>
              <w:tab w:val="right" w:pos="8306"/>
            </w:tabs>
            <w:rPr>
              <w:rFonts w:ascii="Arial" w:hAnsi="Arial" w:cs="Arial"/>
              <w:b/>
              <w:szCs w:val="22"/>
            </w:rPr>
          </w:pPr>
          <w:r>
            <w:rPr>
              <w:rFonts w:ascii="Arial" w:hAnsi="Arial" w:cs="Arial"/>
              <w:szCs w:val="22"/>
            </w:rPr>
            <w:t>8 March 2017</w:t>
          </w:r>
        </w:p>
      </w:tc>
    </w:tr>
  </w:tbl>
  <w:p w14:paraId="231F4B16" w14:textId="77777777" w:rsidR="00454EC6" w:rsidRDefault="00454EC6" w:rsidP="00EB0DE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2A8F6" w14:textId="77777777" w:rsidR="00454EC6" w:rsidRDefault="00454EC6" w:rsidP="00EB0DE5">
    <w:pPr>
      <w:rPr>
        <w:rFonts w:ascii="Arial" w:hAnsi="Arial" w:cs="Arial"/>
        <w:sz w:val="44"/>
        <w:szCs w:val="44"/>
      </w:rPr>
    </w:pPr>
  </w:p>
  <w:p w14:paraId="64A89193" w14:textId="77777777" w:rsidR="00454EC6" w:rsidRDefault="00454EC6" w:rsidP="00EB0DE5">
    <w:pPr>
      <w:rPr>
        <w:rFonts w:ascii="Arial" w:hAnsi="Arial" w:cs="Arial"/>
        <w:sz w:val="44"/>
        <w:szCs w:val="44"/>
      </w:rPr>
    </w:pPr>
    <w:r>
      <w:rPr>
        <w:rFonts w:ascii="Arial" w:hAnsi="Arial" w:cs="Arial"/>
        <w:noProof/>
        <w:sz w:val="44"/>
        <w:szCs w:val="44"/>
      </w:rPr>
      <w:drawing>
        <wp:inline distT="0" distB="0" distL="0" distR="0" wp14:anchorId="63F3B6D9" wp14:editId="17BA9B18">
          <wp:extent cx="1552575" cy="952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952500"/>
                  </a:xfrm>
                  <a:prstGeom prst="rect">
                    <a:avLst/>
                  </a:prstGeom>
                  <a:noFill/>
                  <a:ln>
                    <a:noFill/>
                  </a:ln>
                </pic:spPr>
              </pic:pic>
            </a:graphicData>
          </a:graphic>
        </wp:inline>
      </w:drawing>
    </w:r>
  </w:p>
  <w:tbl>
    <w:tblPr>
      <w:tblW w:w="9072" w:type="dxa"/>
      <w:tblLayout w:type="fixed"/>
      <w:tblCellMar>
        <w:left w:w="0" w:type="dxa"/>
        <w:right w:w="0" w:type="dxa"/>
      </w:tblCellMar>
      <w:tblLook w:val="0000" w:firstRow="0" w:lastRow="0" w:firstColumn="0" w:lastColumn="0" w:noHBand="0" w:noVBand="0"/>
    </w:tblPr>
    <w:tblGrid>
      <w:gridCol w:w="6663"/>
      <w:gridCol w:w="2409"/>
    </w:tblGrid>
    <w:tr w:rsidR="00454EC6" w14:paraId="5EFE9426" w14:textId="77777777">
      <w:tc>
        <w:tcPr>
          <w:tcW w:w="6663" w:type="dxa"/>
        </w:tcPr>
        <w:p w14:paraId="31E594B0" w14:textId="77777777" w:rsidR="00454EC6" w:rsidRPr="005F364F" w:rsidRDefault="00454EC6">
          <w:pPr>
            <w:pStyle w:val="CtteeandItem"/>
            <w:rPr>
              <w:rFonts w:ascii="Arial" w:hAnsi="Arial" w:cs="Arial"/>
              <w:sz w:val="24"/>
              <w:szCs w:val="24"/>
            </w:rPr>
          </w:pPr>
        </w:p>
      </w:tc>
      <w:tc>
        <w:tcPr>
          <w:tcW w:w="2409" w:type="dxa"/>
        </w:tcPr>
        <w:p w14:paraId="4F85E713" w14:textId="77777777" w:rsidR="00454EC6" w:rsidRPr="005F364F" w:rsidRDefault="00454EC6">
          <w:pPr>
            <w:pStyle w:val="CtteeandItem"/>
            <w:tabs>
              <w:tab w:val="right" w:pos="2018"/>
            </w:tabs>
            <w:rPr>
              <w:rFonts w:ascii="Arial" w:hAnsi="Arial" w:cs="Arial"/>
              <w:sz w:val="24"/>
              <w:szCs w:val="24"/>
            </w:rPr>
          </w:pPr>
        </w:p>
      </w:tc>
    </w:tr>
    <w:tr w:rsidR="00454EC6" w14:paraId="61D4A65B" w14:textId="77777777">
      <w:tc>
        <w:tcPr>
          <w:tcW w:w="6663" w:type="dxa"/>
        </w:tcPr>
        <w:p w14:paraId="6786643F" w14:textId="77777777" w:rsidR="00454EC6" w:rsidRPr="005F364F" w:rsidRDefault="00454EC6">
          <w:pPr>
            <w:pStyle w:val="CtteeandItem"/>
            <w:rPr>
              <w:rFonts w:ascii="Arial" w:hAnsi="Arial" w:cs="Arial"/>
              <w:sz w:val="24"/>
              <w:szCs w:val="24"/>
            </w:rPr>
          </w:pPr>
          <w:bookmarkStart w:id="1" w:name="ExecName"/>
          <w:bookmarkEnd w:id="1"/>
          <w:r>
            <w:rPr>
              <w:rFonts w:ascii="Arial" w:hAnsi="Arial" w:cs="Arial"/>
              <w:sz w:val="24"/>
              <w:szCs w:val="24"/>
            </w:rPr>
            <w:t>LG Group Executive      [</w:t>
          </w:r>
          <w:proofErr w:type="spellStart"/>
          <w:r>
            <w:rPr>
              <w:rFonts w:ascii="Arial" w:hAnsi="Arial" w:cs="Arial"/>
              <w:sz w:val="24"/>
              <w:szCs w:val="24"/>
            </w:rPr>
            <w:t>arial</w:t>
          </w:r>
          <w:proofErr w:type="spellEnd"/>
          <w:r>
            <w:rPr>
              <w:rFonts w:ascii="Arial" w:hAnsi="Arial" w:cs="Arial"/>
              <w:sz w:val="24"/>
              <w:szCs w:val="24"/>
            </w:rPr>
            <w:t xml:space="preserve"> 12 bold]</w:t>
          </w:r>
        </w:p>
      </w:tc>
      <w:tc>
        <w:tcPr>
          <w:tcW w:w="2409" w:type="dxa"/>
        </w:tcPr>
        <w:p w14:paraId="29C0BB0D" w14:textId="77777777" w:rsidR="00454EC6" w:rsidRPr="005F364F" w:rsidRDefault="00454EC6">
          <w:pPr>
            <w:pStyle w:val="CtteeandItem"/>
            <w:tabs>
              <w:tab w:val="right" w:pos="2018"/>
            </w:tabs>
            <w:rPr>
              <w:rFonts w:ascii="Arial" w:hAnsi="Arial" w:cs="Arial"/>
              <w:sz w:val="24"/>
              <w:szCs w:val="24"/>
            </w:rPr>
          </w:pPr>
          <w:r w:rsidRPr="005F364F">
            <w:rPr>
              <w:rFonts w:ascii="Arial" w:hAnsi="Arial" w:cs="Arial"/>
              <w:sz w:val="24"/>
              <w:szCs w:val="24"/>
            </w:rPr>
            <w:t xml:space="preserve">Item  </w:t>
          </w:r>
          <w:bookmarkStart w:id="2" w:name="ItemNo"/>
          <w:bookmarkEnd w:id="2"/>
          <w:r>
            <w:rPr>
              <w:rFonts w:ascii="Arial" w:hAnsi="Arial" w:cs="Arial"/>
              <w:sz w:val="24"/>
              <w:szCs w:val="24"/>
            </w:rPr>
            <w:t>1</w:t>
          </w:r>
        </w:p>
      </w:tc>
    </w:tr>
    <w:tr w:rsidR="00454EC6" w14:paraId="0CEE11E2" w14:textId="77777777">
      <w:tc>
        <w:tcPr>
          <w:tcW w:w="9072" w:type="dxa"/>
          <w:gridSpan w:val="2"/>
          <w:tcBorders>
            <w:bottom w:val="single" w:sz="6" w:space="0" w:color="auto"/>
          </w:tcBorders>
        </w:tcPr>
        <w:p w14:paraId="35FED996" w14:textId="77777777" w:rsidR="00454EC6" w:rsidRPr="00994E1F" w:rsidRDefault="00454EC6">
          <w:pPr>
            <w:pStyle w:val="Date"/>
            <w:rPr>
              <w:rFonts w:ascii="Arial" w:hAnsi="Arial" w:cs="Arial"/>
              <w:b/>
              <w:sz w:val="24"/>
              <w:szCs w:val="24"/>
            </w:rPr>
          </w:pPr>
          <w:bookmarkStart w:id="3" w:name="Date"/>
          <w:bookmarkEnd w:id="3"/>
          <w:r>
            <w:rPr>
              <w:rFonts w:ascii="Arial" w:hAnsi="Arial" w:cs="Arial"/>
              <w:sz w:val="24"/>
              <w:szCs w:val="24"/>
            </w:rPr>
            <w:t>1 September 2010           [</w:t>
          </w:r>
          <w:proofErr w:type="spellStart"/>
          <w:r>
            <w:rPr>
              <w:rFonts w:ascii="Arial" w:hAnsi="Arial" w:cs="Arial"/>
              <w:sz w:val="24"/>
              <w:szCs w:val="24"/>
            </w:rPr>
            <w:t>arial</w:t>
          </w:r>
          <w:proofErr w:type="spellEnd"/>
          <w:r>
            <w:rPr>
              <w:rFonts w:ascii="Arial" w:hAnsi="Arial" w:cs="Arial"/>
              <w:sz w:val="24"/>
              <w:szCs w:val="24"/>
            </w:rPr>
            <w:t xml:space="preserve"> 12]                                             </w:t>
          </w:r>
          <w:r>
            <w:rPr>
              <w:rFonts w:ascii="Arial" w:hAnsi="Arial" w:cs="Arial"/>
              <w:b/>
              <w:sz w:val="24"/>
              <w:szCs w:val="24"/>
            </w:rPr>
            <w:t>Appendix 1</w:t>
          </w:r>
        </w:p>
      </w:tc>
    </w:tr>
  </w:tbl>
  <w:p w14:paraId="2430BC08" w14:textId="77777777" w:rsidR="00454EC6" w:rsidRDefault="00454EC6">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163D"/>
    <w:multiLevelType w:val="hybridMultilevel"/>
    <w:tmpl w:val="975E5A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EC6316"/>
    <w:multiLevelType w:val="hybridMultilevel"/>
    <w:tmpl w:val="1FC883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3358EE"/>
    <w:multiLevelType w:val="hybridMultilevel"/>
    <w:tmpl w:val="E08CF3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0BB43060"/>
    <w:multiLevelType w:val="hybridMultilevel"/>
    <w:tmpl w:val="3830ECA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1512019A"/>
    <w:multiLevelType w:val="multilevel"/>
    <w:tmpl w:val="191CAD2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E368BA"/>
    <w:multiLevelType w:val="hybridMultilevel"/>
    <w:tmpl w:val="EAA430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1723508A"/>
    <w:multiLevelType w:val="hybridMultilevel"/>
    <w:tmpl w:val="F4F86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CE65AC"/>
    <w:multiLevelType w:val="hybridMultilevel"/>
    <w:tmpl w:val="A8DC99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9D1A2D"/>
    <w:multiLevelType w:val="hybridMultilevel"/>
    <w:tmpl w:val="E7485B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0CF63B6"/>
    <w:multiLevelType w:val="multilevel"/>
    <w:tmpl w:val="FA5080E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1D634CC"/>
    <w:multiLevelType w:val="hybridMultilevel"/>
    <w:tmpl w:val="11E01FFE"/>
    <w:lvl w:ilvl="0" w:tplc="0809000F">
      <w:start w:val="1"/>
      <w:numFmt w:val="decimal"/>
      <w:lvlText w:val="%1."/>
      <w:lvlJc w:val="left"/>
      <w:pPr>
        <w:ind w:left="360" w:hanging="360"/>
      </w:pPr>
    </w:lvl>
    <w:lvl w:ilvl="1" w:tplc="0809001B">
      <w:start w:val="1"/>
      <w:numFmt w:val="lowerRoman"/>
      <w:lvlText w:val="%2."/>
      <w:lvlJc w:val="righ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3D662787"/>
    <w:multiLevelType w:val="hybridMultilevel"/>
    <w:tmpl w:val="BD7CD5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E726A66"/>
    <w:multiLevelType w:val="hybridMultilevel"/>
    <w:tmpl w:val="D30AC410"/>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F9E365E"/>
    <w:multiLevelType w:val="hybridMultilevel"/>
    <w:tmpl w:val="D80CF7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527C1F13"/>
    <w:multiLevelType w:val="hybridMultilevel"/>
    <w:tmpl w:val="4B101B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37F0423"/>
    <w:multiLevelType w:val="multilevel"/>
    <w:tmpl w:val="BE7402D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70E7283"/>
    <w:multiLevelType w:val="multilevel"/>
    <w:tmpl w:val="63F07346"/>
    <w:lvl w:ilvl="0">
      <w:start w:val="1"/>
      <w:numFmt w:val="decimal"/>
      <w:lvlText w:val="12.%1."/>
      <w:lvlJc w:val="left"/>
      <w:pPr>
        <w:ind w:left="1287" w:hanging="360"/>
      </w:pPr>
      <w:rPr>
        <w:b w:val="0"/>
        <w:sz w:val="22"/>
        <w:szCs w:val="22"/>
      </w:rPr>
    </w:lvl>
    <w:lvl w:ilvl="1">
      <w:start w:val="1"/>
      <w:numFmt w:val="decimal"/>
      <w:lvlText w:val="9.%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8" w15:restartNumberingAfterBreak="0">
    <w:nsid w:val="57274187"/>
    <w:multiLevelType w:val="hybridMultilevel"/>
    <w:tmpl w:val="3056D5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5B76184C"/>
    <w:multiLevelType w:val="hybridMultilevel"/>
    <w:tmpl w:val="6A026A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F35463D"/>
    <w:multiLevelType w:val="hybridMultilevel"/>
    <w:tmpl w:val="DD9C679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800" w:hanging="360"/>
      </w:pPr>
      <w:rPr>
        <w:rFonts w:ascii="Symbol" w:hAnsi="Symbol"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6D9366C3"/>
    <w:multiLevelType w:val="hybridMultilevel"/>
    <w:tmpl w:val="1EB2FF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8355960"/>
    <w:multiLevelType w:val="hybridMultilevel"/>
    <w:tmpl w:val="23C6AE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F5B2778"/>
    <w:multiLevelType w:val="multilevel"/>
    <w:tmpl w:val="CC78C79C"/>
    <w:lvl w:ilvl="0">
      <w:start w:val="1"/>
      <w:numFmt w:val="bullet"/>
      <w:lvlText w:val=""/>
      <w:lvlJc w:val="left"/>
      <w:pPr>
        <w:ind w:left="360" w:hanging="360"/>
      </w:pPr>
      <w:rPr>
        <w:rFonts w:ascii="Symbol" w:hAnsi="Symbol" w:hint="default"/>
        <w:b w:val="0"/>
        <w:sz w:val="22"/>
        <w:szCs w:val="22"/>
      </w:rPr>
    </w:lvl>
    <w:lvl w:ilvl="1">
      <w:start w:val="1"/>
      <w:numFmt w:val="decimal"/>
      <w:lvlText w:val="9.%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7F7B660A"/>
    <w:multiLevelType w:val="hybridMultilevel"/>
    <w:tmpl w:val="12A829F6"/>
    <w:lvl w:ilvl="0" w:tplc="633C5CD6">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F983979"/>
    <w:multiLevelType w:val="hybridMultilevel"/>
    <w:tmpl w:val="D332C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6"/>
  </w:num>
  <w:num w:numId="4">
    <w:abstractNumId w:val="9"/>
  </w:num>
  <w:num w:numId="5">
    <w:abstractNumId w:val="19"/>
  </w:num>
  <w:num w:numId="6">
    <w:abstractNumId w:val="1"/>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8"/>
  </w:num>
  <w:num w:numId="15">
    <w:abstractNumId w:val="20"/>
  </w:num>
  <w:num w:numId="16">
    <w:abstractNumId w:val="15"/>
  </w:num>
  <w:num w:numId="17">
    <w:abstractNumId w:val="3"/>
  </w:num>
  <w:num w:numId="18">
    <w:abstractNumId w:val="25"/>
  </w:num>
  <w:num w:numId="19">
    <w:abstractNumId w:val="7"/>
  </w:num>
  <w:num w:numId="20">
    <w:abstractNumId w:val="6"/>
  </w:num>
  <w:num w:numId="21">
    <w:abstractNumId w:val="21"/>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24"/>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0"/>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002080"/>
    <w:rsid w:val="00037C4A"/>
    <w:rsid w:val="00050FB9"/>
    <w:rsid w:val="00053667"/>
    <w:rsid w:val="00055F9E"/>
    <w:rsid w:val="00067B19"/>
    <w:rsid w:val="00080047"/>
    <w:rsid w:val="0008033C"/>
    <w:rsid w:val="000937F8"/>
    <w:rsid w:val="000A4F76"/>
    <w:rsid w:val="00122698"/>
    <w:rsid w:val="00160348"/>
    <w:rsid w:val="001A6A6B"/>
    <w:rsid w:val="001B36CE"/>
    <w:rsid w:val="00204320"/>
    <w:rsid w:val="00214E59"/>
    <w:rsid w:val="00291457"/>
    <w:rsid w:val="002C7CDC"/>
    <w:rsid w:val="002D1C1D"/>
    <w:rsid w:val="002D7778"/>
    <w:rsid w:val="00315F0A"/>
    <w:rsid w:val="00337312"/>
    <w:rsid w:val="003A4EBA"/>
    <w:rsid w:val="003D69FF"/>
    <w:rsid w:val="003E6AE1"/>
    <w:rsid w:val="00403076"/>
    <w:rsid w:val="00411F01"/>
    <w:rsid w:val="00414B19"/>
    <w:rsid w:val="004165E6"/>
    <w:rsid w:val="004367D5"/>
    <w:rsid w:val="004530A9"/>
    <w:rsid w:val="00454863"/>
    <w:rsid w:val="00454EC6"/>
    <w:rsid w:val="005604B8"/>
    <w:rsid w:val="005752EB"/>
    <w:rsid w:val="005819BE"/>
    <w:rsid w:val="00583055"/>
    <w:rsid w:val="00596E97"/>
    <w:rsid w:val="005A2C27"/>
    <w:rsid w:val="005C498E"/>
    <w:rsid w:val="00604F04"/>
    <w:rsid w:val="0066318B"/>
    <w:rsid w:val="00663E46"/>
    <w:rsid w:val="006809B5"/>
    <w:rsid w:val="00687941"/>
    <w:rsid w:val="00696F94"/>
    <w:rsid w:val="007053D5"/>
    <w:rsid w:val="00721A0C"/>
    <w:rsid w:val="007626D5"/>
    <w:rsid w:val="00793736"/>
    <w:rsid w:val="007949CD"/>
    <w:rsid w:val="007A03E6"/>
    <w:rsid w:val="007D2E31"/>
    <w:rsid w:val="008419CC"/>
    <w:rsid w:val="00867A3F"/>
    <w:rsid w:val="0088476B"/>
    <w:rsid w:val="00891AE9"/>
    <w:rsid w:val="008E191F"/>
    <w:rsid w:val="008E2044"/>
    <w:rsid w:val="008F54A3"/>
    <w:rsid w:val="009127DA"/>
    <w:rsid w:val="00914BEF"/>
    <w:rsid w:val="0093474A"/>
    <w:rsid w:val="00992E96"/>
    <w:rsid w:val="009E7EFE"/>
    <w:rsid w:val="00A055A8"/>
    <w:rsid w:val="00A55143"/>
    <w:rsid w:val="00AA6C5F"/>
    <w:rsid w:val="00AC4934"/>
    <w:rsid w:val="00AC7277"/>
    <w:rsid w:val="00AD5F54"/>
    <w:rsid w:val="00B00214"/>
    <w:rsid w:val="00B12AFC"/>
    <w:rsid w:val="00B2145D"/>
    <w:rsid w:val="00B23DA6"/>
    <w:rsid w:val="00B35487"/>
    <w:rsid w:val="00B664D4"/>
    <w:rsid w:val="00B80963"/>
    <w:rsid w:val="00B82F7D"/>
    <w:rsid w:val="00BC7AE0"/>
    <w:rsid w:val="00BF4FC6"/>
    <w:rsid w:val="00C35D57"/>
    <w:rsid w:val="00C4568C"/>
    <w:rsid w:val="00C55C0C"/>
    <w:rsid w:val="00CA1CE2"/>
    <w:rsid w:val="00CC0AAC"/>
    <w:rsid w:val="00CD6C2A"/>
    <w:rsid w:val="00D15C56"/>
    <w:rsid w:val="00D45B4D"/>
    <w:rsid w:val="00D73C35"/>
    <w:rsid w:val="00D80DAE"/>
    <w:rsid w:val="00D8283F"/>
    <w:rsid w:val="00D86690"/>
    <w:rsid w:val="00D96BF9"/>
    <w:rsid w:val="00E10C7F"/>
    <w:rsid w:val="00E1448D"/>
    <w:rsid w:val="00E4710D"/>
    <w:rsid w:val="00E60436"/>
    <w:rsid w:val="00E96B6C"/>
    <w:rsid w:val="00EB0DE5"/>
    <w:rsid w:val="00F27914"/>
    <w:rsid w:val="00F27BE1"/>
    <w:rsid w:val="00FA6266"/>
    <w:rsid w:val="00FB627D"/>
    <w:rsid w:val="00FC30D5"/>
    <w:rsid w:val="00FD1860"/>
    <w:rsid w:val="00FE2386"/>
    <w:rsid w:val="00FE612A"/>
    <w:rsid w:val="00FE6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0AECF31D"/>
  <w15:chartTrackingRefBased/>
  <w15:docId w15:val="{1B244817-D608-4C1E-B023-5875D74E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863"/>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E96"/>
    <w:pPr>
      <w:tabs>
        <w:tab w:val="center" w:pos="4153"/>
        <w:tab w:val="right" w:pos="8306"/>
      </w:tabs>
    </w:pPr>
  </w:style>
  <w:style w:type="character" w:customStyle="1" w:styleId="HeaderChar">
    <w:name w:val="Header Char"/>
    <w:basedOn w:val="DefaultParagraphFont"/>
    <w:link w:val="Header"/>
    <w:rsid w:val="00992E96"/>
    <w:rPr>
      <w:rFonts w:ascii="Frutiger 45 Light" w:eastAsia="Times New Roman" w:hAnsi="Frutiger 45 Light" w:cs="Times New Roman"/>
      <w:szCs w:val="20"/>
      <w:lang w:eastAsia="en-GB"/>
    </w:rPr>
  </w:style>
  <w:style w:type="paragraph" w:styleId="Footer">
    <w:name w:val="footer"/>
    <w:basedOn w:val="Normal"/>
    <w:link w:val="FooterChar"/>
    <w:rsid w:val="00992E96"/>
    <w:pPr>
      <w:tabs>
        <w:tab w:val="center" w:pos="4153"/>
        <w:tab w:val="right" w:pos="8306"/>
      </w:tabs>
    </w:pPr>
  </w:style>
  <w:style w:type="character" w:customStyle="1" w:styleId="FooterChar">
    <w:name w:val="Footer Char"/>
    <w:basedOn w:val="DefaultParagraphFont"/>
    <w:link w:val="Footer"/>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rsid w:val="00992E96"/>
    <w:rPr>
      <w:color w:val="0000FF"/>
      <w:u w:val="single"/>
    </w:rPr>
  </w:style>
  <w:style w:type="table" w:styleId="TableGrid">
    <w:name w:val="Table Grid"/>
    <w:basedOn w:val="TableNormal"/>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1,Numbered Para 1,Dot pt,No Spacing1,List Paragraph Char Char Char,Indicator Text,List Paragraph1"/>
    <w:basedOn w:val="Normal"/>
    <w:link w:val="ListParagraphChar"/>
    <w:uiPriority w:val="34"/>
    <w:qFormat/>
    <w:rsid w:val="00992E96"/>
    <w:pPr>
      <w:ind w:left="720"/>
    </w:pPr>
  </w:style>
  <w:style w:type="paragraph" w:customStyle="1" w:styleId="CtteeandItem">
    <w:name w:val="Cttee and Item"/>
    <w:basedOn w:val="Normal"/>
    <w:rsid w:val="0008033C"/>
    <w:pPr>
      <w:spacing w:line="360" w:lineRule="exact"/>
    </w:pPr>
    <w:rPr>
      <w:rFonts w:ascii="Frutiger 55 Roman" w:hAnsi="Frutiger 55 Roman"/>
      <w:b/>
    </w:rPr>
  </w:style>
  <w:style w:type="paragraph" w:styleId="Date">
    <w:name w:val="Date"/>
    <w:basedOn w:val="Normal"/>
    <w:link w:val="DateChar"/>
    <w:rsid w:val="0008033C"/>
    <w:pPr>
      <w:spacing w:after="40" w:line="360" w:lineRule="exact"/>
      <w:ind w:right="57"/>
    </w:pPr>
  </w:style>
  <w:style w:type="character" w:customStyle="1" w:styleId="DateChar">
    <w:name w:val="Date Char"/>
    <w:basedOn w:val="DefaultParagraphFont"/>
    <w:link w:val="Date"/>
    <w:rsid w:val="0008033C"/>
    <w:rPr>
      <w:rFonts w:ascii="Frutiger 45 Light" w:eastAsia="Times New Roman" w:hAnsi="Frutiger 45 Light" w:cs="Times New Roman"/>
      <w:szCs w:val="20"/>
      <w:lang w:eastAsia="en-GB"/>
    </w:rPr>
  </w:style>
  <w:style w:type="paragraph" w:styleId="NoSpacing">
    <w:name w:val="No Spacing"/>
    <w:uiPriority w:val="1"/>
    <w:qFormat/>
    <w:rsid w:val="0008033C"/>
    <w:pPr>
      <w:spacing w:after="0" w:line="240" w:lineRule="auto"/>
    </w:pPr>
    <w:rPr>
      <w:rFonts w:ascii="Frutiger 45 Light" w:eastAsia="Times New Roman" w:hAnsi="Frutiger 45 Light" w:cs="Times New Roman"/>
      <w:szCs w:val="20"/>
      <w:lang w:eastAsia="en-GB"/>
    </w:rPr>
  </w:style>
  <w:style w:type="character" w:customStyle="1" w:styleId="ListParagraphChar">
    <w:name w:val="List Paragraph Char"/>
    <w:aliases w:val="Bullet 1 Char,Numbered Para 1 Char,Dot pt Char,No Spacing1 Char,List Paragraph Char Char Char Char,Indicator Text Char,List Paragraph1 Char"/>
    <w:link w:val="ListParagraph"/>
    <w:uiPriority w:val="34"/>
    <w:locked/>
    <w:rsid w:val="0008033C"/>
    <w:rPr>
      <w:rFonts w:ascii="Frutiger 45 Light" w:eastAsia="Times New Roman" w:hAnsi="Frutiger 45 Light" w:cs="Times New Roman"/>
      <w:szCs w:val="20"/>
      <w:lang w:eastAsia="en-GB"/>
    </w:rPr>
  </w:style>
  <w:style w:type="paragraph" w:customStyle="1" w:styleId="Default">
    <w:name w:val="Default"/>
    <w:rsid w:val="0008033C"/>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8419CC"/>
    <w:rPr>
      <w:color w:val="954F72" w:themeColor="followedHyperlink"/>
      <w:u w:val="single"/>
    </w:rPr>
  </w:style>
  <w:style w:type="character" w:styleId="CommentReference">
    <w:name w:val="annotation reference"/>
    <w:basedOn w:val="DefaultParagraphFont"/>
    <w:uiPriority w:val="99"/>
    <w:semiHidden/>
    <w:unhideWhenUsed/>
    <w:rsid w:val="00337312"/>
    <w:rPr>
      <w:sz w:val="16"/>
      <w:szCs w:val="16"/>
    </w:rPr>
  </w:style>
  <w:style w:type="paragraph" w:styleId="CommentText">
    <w:name w:val="annotation text"/>
    <w:basedOn w:val="Normal"/>
    <w:link w:val="CommentTextChar"/>
    <w:uiPriority w:val="99"/>
    <w:semiHidden/>
    <w:unhideWhenUsed/>
    <w:rsid w:val="00337312"/>
    <w:rPr>
      <w:sz w:val="20"/>
    </w:rPr>
  </w:style>
  <w:style w:type="character" w:customStyle="1" w:styleId="CommentTextChar">
    <w:name w:val="Comment Text Char"/>
    <w:basedOn w:val="DefaultParagraphFont"/>
    <w:link w:val="CommentText"/>
    <w:uiPriority w:val="99"/>
    <w:semiHidden/>
    <w:rsid w:val="00337312"/>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37312"/>
    <w:rPr>
      <w:b/>
      <w:bCs/>
    </w:rPr>
  </w:style>
  <w:style w:type="character" w:customStyle="1" w:styleId="CommentSubjectChar">
    <w:name w:val="Comment Subject Char"/>
    <w:basedOn w:val="CommentTextChar"/>
    <w:link w:val="CommentSubject"/>
    <w:uiPriority w:val="99"/>
    <w:semiHidden/>
    <w:rsid w:val="00337312"/>
    <w:rPr>
      <w:rFonts w:ascii="Frutiger 45 Light" w:eastAsia="Times New Roman" w:hAnsi="Frutiger 45 Light" w:cs="Times New Roman"/>
      <w:b/>
      <w:bCs/>
      <w:sz w:val="20"/>
      <w:szCs w:val="20"/>
      <w:lang w:eastAsia="en-GB"/>
    </w:rPr>
  </w:style>
  <w:style w:type="paragraph" w:styleId="BalloonText">
    <w:name w:val="Balloon Text"/>
    <w:basedOn w:val="Normal"/>
    <w:link w:val="BalloonTextChar"/>
    <w:uiPriority w:val="99"/>
    <w:semiHidden/>
    <w:unhideWhenUsed/>
    <w:rsid w:val="003373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312"/>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62577">
      <w:bodyDiv w:val="1"/>
      <w:marLeft w:val="0"/>
      <w:marRight w:val="0"/>
      <w:marTop w:val="0"/>
      <w:marBottom w:val="0"/>
      <w:divBdr>
        <w:top w:val="none" w:sz="0" w:space="0" w:color="auto"/>
        <w:left w:val="none" w:sz="0" w:space="0" w:color="auto"/>
        <w:bottom w:val="none" w:sz="0" w:space="0" w:color="auto"/>
        <w:right w:val="none" w:sz="0" w:space="0" w:color="auto"/>
      </w:divBdr>
    </w:div>
    <w:div w:id="136458055">
      <w:bodyDiv w:val="1"/>
      <w:marLeft w:val="0"/>
      <w:marRight w:val="0"/>
      <w:marTop w:val="0"/>
      <w:marBottom w:val="0"/>
      <w:divBdr>
        <w:top w:val="none" w:sz="0" w:space="0" w:color="auto"/>
        <w:left w:val="none" w:sz="0" w:space="0" w:color="auto"/>
        <w:bottom w:val="none" w:sz="0" w:space="0" w:color="auto"/>
        <w:right w:val="none" w:sz="0" w:space="0" w:color="auto"/>
      </w:divBdr>
    </w:div>
    <w:div w:id="205876729">
      <w:bodyDiv w:val="1"/>
      <w:marLeft w:val="0"/>
      <w:marRight w:val="0"/>
      <w:marTop w:val="0"/>
      <w:marBottom w:val="0"/>
      <w:divBdr>
        <w:top w:val="none" w:sz="0" w:space="0" w:color="auto"/>
        <w:left w:val="none" w:sz="0" w:space="0" w:color="auto"/>
        <w:bottom w:val="none" w:sz="0" w:space="0" w:color="auto"/>
        <w:right w:val="none" w:sz="0" w:space="0" w:color="auto"/>
      </w:divBdr>
    </w:div>
    <w:div w:id="249852927">
      <w:bodyDiv w:val="1"/>
      <w:marLeft w:val="0"/>
      <w:marRight w:val="0"/>
      <w:marTop w:val="0"/>
      <w:marBottom w:val="0"/>
      <w:divBdr>
        <w:top w:val="none" w:sz="0" w:space="0" w:color="auto"/>
        <w:left w:val="none" w:sz="0" w:space="0" w:color="auto"/>
        <w:bottom w:val="none" w:sz="0" w:space="0" w:color="auto"/>
        <w:right w:val="none" w:sz="0" w:space="0" w:color="auto"/>
      </w:divBdr>
    </w:div>
    <w:div w:id="274750648">
      <w:bodyDiv w:val="1"/>
      <w:marLeft w:val="0"/>
      <w:marRight w:val="0"/>
      <w:marTop w:val="0"/>
      <w:marBottom w:val="0"/>
      <w:divBdr>
        <w:top w:val="none" w:sz="0" w:space="0" w:color="auto"/>
        <w:left w:val="none" w:sz="0" w:space="0" w:color="auto"/>
        <w:bottom w:val="none" w:sz="0" w:space="0" w:color="auto"/>
        <w:right w:val="none" w:sz="0" w:space="0" w:color="auto"/>
      </w:divBdr>
    </w:div>
    <w:div w:id="277807775">
      <w:bodyDiv w:val="1"/>
      <w:marLeft w:val="0"/>
      <w:marRight w:val="0"/>
      <w:marTop w:val="0"/>
      <w:marBottom w:val="0"/>
      <w:divBdr>
        <w:top w:val="none" w:sz="0" w:space="0" w:color="auto"/>
        <w:left w:val="none" w:sz="0" w:space="0" w:color="auto"/>
        <w:bottom w:val="none" w:sz="0" w:space="0" w:color="auto"/>
        <w:right w:val="none" w:sz="0" w:space="0" w:color="auto"/>
      </w:divBdr>
    </w:div>
    <w:div w:id="380248714">
      <w:bodyDiv w:val="1"/>
      <w:marLeft w:val="0"/>
      <w:marRight w:val="0"/>
      <w:marTop w:val="0"/>
      <w:marBottom w:val="0"/>
      <w:divBdr>
        <w:top w:val="none" w:sz="0" w:space="0" w:color="auto"/>
        <w:left w:val="none" w:sz="0" w:space="0" w:color="auto"/>
        <w:bottom w:val="none" w:sz="0" w:space="0" w:color="auto"/>
        <w:right w:val="none" w:sz="0" w:space="0" w:color="auto"/>
      </w:divBdr>
    </w:div>
    <w:div w:id="410394989">
      <w:bodyDiv w:val="1"/>
      <w:marLeft w:val="0"/>
      <w:marRight w:val="0"/>
      <w:marTop w:val="0"/>
      <w:marBottom w:val="0"/>
      <w:divBdr>
        <w:top w:val="none" w:sz="0" w:space="0" w:color="auto"/>
        <w:left w:val="none" w:sz="0" w:space="0" w:color="auto"/>
        <w:bottom w:val="none" w:sz="0" w:space="0" w:color="auto"/>
        <w:right w:val="none" w:sz="0" w:space="0" w:color="auto"/>
      </w:divBdr>
    </w:div>
    <w:div w:id="503520656">
      <w:bodyDiv w:val="1"/>
      <w:marLeft w:val="0"/>
      <w:marRight w:val="0"/>
      <w:marTop w:val="0"/>
      <w:marBottom w:val="0"/>
      <w:divBdr>
        <w:top w:val="none" w:sz="0" w:space="0" w:color="auto"/>
        <w:left w:val="none" w:sz="0" w:space="0" w:color="auto"/>
        <w:bottom w:val="none" w:sz="0" w:space="0" w:color="auto"/>
        <w:right w:val="none" w:sz="0" w:space="0" w:color="auto"/>
      </w:divBdr>
    </w:div>
    <w:div w:id="584261169">
      <w:bodyDiv w:val="1"/>
      <w:marLeft w:val="0"/>
      <w:marRight w:val="0"/>
      <w:marTop w:val="0"/>
      <w:marBottom w:val="0"/>
      <w:divBdr>
        <w:top w:val="none" w:sz="0" w:space="0" w:color="auto"/>
        <w:left w:val="none" w:sz="0" w:space="0" w:color="auto"/>
        <w:bottom w:val="none" w:sz="0" w:space="0" w:color="auto"/>
        <w:right w:val="none" w:sz="0" w:space="0" w:color="auto"/>
      </w:divBdr>
    </w:div>
    <w:div w:id="702874180">
      <w:bodyDiv w:val="1"/>
      <w:marLeft w:val="0"/>
      <w:marRight w:val="0"/>
      <w:marTop w:val="0"/>
      <w:marBottom w:val="0"/>
      <w:divBdr>
        <w:top w:val="none" w:sz="0" w:space="0" w:color="auto"/>
        <w:left w:val="none" w:sz="0" w:space="0" w:color="auto"/>
        <w:bottom w:val="none" w:sz="0" w:space="0" w:color="auto"/>
        <w:right w:val="none" w:sz="0" w:space="0" w:color="auto"/>
      </w:divBdr>
    </w:div>
    <w:div w:id="712845737">
      <w:bodyDiv w:val="1"/>
      <w:marLeft w:val="0"/>
      <w:marRight w:val="0"/>
      <w:marTop w:val="0"/>
      <w:marBottom w:val="0"/>
      <w:divBdr>
        <w:top w:val="none" w:sz="0" w:space="0" w:color="auto"/>
        <w:left w:val="none" w:sz="0" w:space="0" w:color="auto"/>
        <w:bottom w:val="none" w:sz="0" w:space="0" w:color="auto"/>
        <w:right w:val="none" w:sz="0" w:space="0" w:color="auto"/>
      </w:divBdr>
    </w:div>
    <w:div w:id="817647258">
      <w:bodyDiv w:val="1"/>
      <w:marLeft w:val="0"/>
      <w:marRight w:val="0"/>
      <w:marTop w:val="0"/>
      <w:marBottom w:val="0"/>
      <w:divBdr>
        <w:top w:val="none" w:sz="0" w:space="0" w:color="auto"/>
        <w:left w:val="none" w:sz="0" w:space="0" w:color="auto"/>
        <w:bottom w:val="none" w:sz="0" w:space="0" w:color="auto"/>
        <w:right w:val="none" w:sz="0" w:space="0" w:color="auto"/>
      </w:divBdr>
    </w:div>
    <w:div w:id="833836871">
      <w:bodyDiv w:val="1"/>
      <w:marLeft w:val="0"/>
      <w:marRight w:val="0"/>
      <w:marTop w:val="0"/>
      <w:marBottom w:val="0"/>
      <w:divBdr>
        <w:top w:val="none" w:sz="0" w:space="0" w:color="auto"/>
        <w:left w:val="none" w:sz="0" w:space="0" w:color="auto"/>
        <w:bottom w:val="none" w:sz="0" w:space="0" w:color="auto"/>
        <w:right w:val="none" w:sz="0" w:space="0" w:color="auto"/>
      </w:divBdr>
    </w:div>
    <w:div w:id="871961307">
      <w:bodyDiv w:val="1"/>
      <w:marLeft w:val="0"/>
      <w:marRight w:val="0"/>
      <w:marTop w:val="0"/>
      <w:marBottom w:val="0"/>
      <w:divBdr>
        <w:top w:val="none" w:sz="0" w:space="0" w:color="auto"/>
        <w:left w:val="none" w:sz="0" w:space="0" w:color="auto"/>
        <w:bottom w:val="none" w:sz="0" w:space="0" w:color="auto"/>
        <w:right w:val="none" w:sz="0" w:space="0" w:color="auto"/>
      </w:divBdr>
    </w:div>
    <w:div w:id="875046022">
      <w:bodyDiv w:val="1"/>
      <w:marLeft w:val="0"/>
      <w:marRight w:val="0"/>
      <w:marTop w:val="0"/>
      <w:marBottom w:val="0"/>
      <w:divBdr>
        <w:top w:val="none" w:sz="0" w:space="0" w:color="auto"/>
        <w:left w:val="none" w:sz="0" w:space="0" w:color="auto"/>
        <w:bottom w:val="none" w:sz="0" w:space="0" w:color="auto"/>
        <w:right w:val="none" w:sz="0" w:space="0" w:color="auto"/>
      </w:divBdr>
    </w:div>
    <w:div w:id="935598831">
      <w:bodyDiv w:val="1"/>
      <w:marLeft w:val="0"/>
      <w:marRight w:val="0"/>
      <w:marTop w:val="0"/>
      <w:marBottom w:val="0"/>
      <w:divBdr>
        <w:top w:val="none" w:sz="0" w:space="0" w:color="auto"/>
        <w:left w:val="none" w:sz="0" w:space="0" w:color="auto"/>
        <w:bottom w:val="none" w:sz="0" w:space="0" w:color="auto"/>
        <w:right w:val="none" w:sz="0" w:space="0" w:color="auto"/>
      </w:divBdr>
    </w:div>
    <w:div w:id="1022515775">
      <w:bodyDiv w:val="1"/>
      <w:marLeft w:val="0"/>
      <w:marRight w:val="0"/>
      <w:marTop w:val="0"/>
      <w:marBottom w:val="0"/>
      <w:divBdr>
        <w:top w:val="none" w:sz="0" w:space="0" w:color="auto"/>
        <w:left w:val="none" w:sz="0" w:space="0" w:color="auto"/>
        <w:bottom w:val="none" w:sz="0" w:space="0" w:color="auto"/>
        <w:right w:val="none" w:sz="0" w:space="0" w:color="auto"/>
      </w:divBdr>
    </w:div>
    <w:div w:id="1359695523">
      <w:bodyDiv w:val="1"/>
      <w:marLeft w:val="0"/>
      <w:marRight w:val="0"/>
      <w:marTop w:val="0"/>
      <w:marBottom w:val="0"/>
      <w:divBdr>
        <w:top w:val="none" w:sz="0" w:space="0" w:color="auto"/>
        <w:left w:val="none" w:sz="0" w:space="0" w:color="auto"/>
        <w:bottom w:val="none" w:sz="0" w:space="0" w:color="auto"/>
        <w:right w:val="none" w:sz="0" w:space="0" w:color="auto"/>
      </w:divBdr>
    </w:div>
    <w:div w:id="1396007169">
      <w:bodyDiv w:val="1"/>
      <w:marLeft w:val="0"/>
      <w:marRight w:val="0"/>
      <w:marTop w:val="0"/>
      <w:marBottom w:val="0"/>
      <w:divBdr>
        <w:top w:val="none" w:sz="0" w:space="0" w:color="auto"/>
        <w:left w:val="none" w:sz="0" w:space="0" w:color="auto"/>
        <w:bottom w:val="none" w:sz="0" w:space="0" w:color="auto"/>
        <w:right w:val="none" w:sz="0" w:space="0" w:color="auto"/>
      </w:divBdr>
    </w:div>
    <w:div w:id="1452358999">
      <w:bodyDiv w:val="1"/>
      <w:marLeft w:val="0"/>
      <w:marRight w:val="0"/>
      <w:marTop w:val="0"/>
      <w:marBottom w:val="0"/>
      <w:divBdr>
        <w:top w:val="none" w:sz="0" w:space="0" w:color="auto"/>
        <w:left w:val="none" w:sz="0" w:space="0" w:color="auto"/>
        <w:bottom w:val="none" w:sz="0" w:space="0" w:color="auto"/>
        <w:right w:val="none" w:sz="0" w:space="0" w:color="auto"/>
      </w:divBdr>
    </w:div>
    <w:div w:id="1568300702">
      <w:bodyDiv w:val="1"/>
      <w:marLeft w:val="0"/>
      <w:marRight w:val="0"/>
      <w:marTop w:val="0"/>
      <w:marBottom w:val="0"/>
      <w:divBdr>
        <w:top w:val="none" w:sz="0" w:space="0" w:color="auto"/>
        <w:left w:val="none" w:sz="0" w:space="0" w:color="auto"/>
        <w:bottom w:val="none" w:sz="0" w:space="0" w:color="auto"/>
        <w:right w:val="none" w:sz="0" w:space="0" w:color="auto"/>
      </w:divBdr>
    </w:div>
    <w:div w:id="1750275852">
      <w:bodyDiv w:val="1"/>
      <w:marLeft w:val="0"/>
      <w:marRight w:val="0"/>
      <w:marTop w:val="0"/>
      <w:marBottom w:val="0"/>
      <w:divBdr>
        <w:top w:val="none" w:sz="0" w:space="0" w:color="auto"/>
        <w:left w:val="none" w:sz="0" w:space="0" w:color="auto"/>
        <w:bottom w:val="none" w:sz="0" w:space="0" w:color="auto"/>
        <w:right w:val="none" w:sz="0" w:space="0" w:color="auto"/>
      </w:divBdr>
    </w:div>
    <w:div w:id="1785075926">
      <w:bodyDiv w:val="1"/>
      <w:marLeft w:val="0"/>
      <w:marRight w:val="0"/>
      <w:marTop w:val="0"/>
      <w:marBottom w:val="0"/>
      <w:divBdr>
        <w:top w:val="none" w:sz="0" w:space="0" w:color="auto"/>
        <w:left w:val="none" w:sz="0" w:space="0" w:color="auto"/>
        <w:bottom w:val="none" w:sz="0" w:space="0" w:color="auto"/>
        <w:right w:val="none" w:sz="0" w:space="0" w:color="auto"/>
      </w:divBdr>
    </w:div>
    <w:div w:id="1814642128">
      <w:bodyDiv w:val="1"/>
      <w:marLeft w:val="0"/>
      <w:marRight w:val="0"/>
      <w:marTop w:val="0"/>
      <w:marBottom w:val="0"/>
      <w:divBdr>
        <w:top w:val="none" w:sz="0" w:space="0" w:color="auto"/>
        <w:left w:val="none" w:sz="0" w:space="0" w:color="auto"/>
        <w:bottom w:val="none" w:sz="0" w:space="0" w:color="auto"/>
        <w:right w:val="none" w:sz="0" w:space="0" w:color="auto"/>
      </w:divBdr>
    </w:div>
    <w:div w:id="212862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1c8a0e75-f4bc-4eb4-8ed0-578eaea9e1ca" xsi:nil="true"/>
    <TaxCatchAll xmlns="1c8a0e75-f4bc-4eb4-8ed0-578eaea9e1ca"/>
    <Keyword_x002f_Tag xmlns="c8febe6a-14d9-43ab-83c3-c48f478fa47c" xsi:nil="true"/>
    <Meeting_x0020_date xmlns="c8febe6a-14d9-43ab-83c3-c48f478fa47c" xsi:nil="true"/>
    <Work_x0020_Area xmlns="c8febe6a-14d9-43ab-83c3-c48f478fa4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2312C1426F124A968684E7578A94F6" ma:contentTypeVersion="4" ma:contentTypeDescription="Create a new document." ma:contentTypeScope="" ma:versionID="c42191b130a8abd73980afd58ca45fdf">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F8DF8-BA99-4144-A24D-84D48438AEC1}">
  <ds:schemaRefs>
    <ds:schemaRef ds:uri="http://schemas.microsoft.com/office/2006/documentManagement/types"/>
    <ds:schemaRef ds:uri="http://www.w3.org/XML/1998/namespace"/>
    <ds:schemaRef ds:uri="http://purl.org/dc/dcmitype/"/>
    <ds:schemaRef ds:uri="http://purl.org/dc/elements/1.1/"/>
    <ds:schemaRef ds:uri="http://schemas.microsoft.com/office/2006/metadata/properties"/>
    <ds:schemaRef ds:uri="http://schemas.openxmlformats.org/package/2006/metadata/core-properties"/>
    <ds:schemaRef ds:uri="1c8a0e75-f4bc-4eb4-8ed0-578eaea9e1ca"/>
    <ds:schemaRef ds:uri="http://purl.org/dc/terms/"/>
    <ds:schemaRef ds:uri="http://schemas.microsoft.com/office/infopath/2007/PartnerControls"/>
    <ds:schemaRef ds:uri="c8febe6a-14d9-43ab-83c3-c48f478fa47c"/>
  </ds:schemaRefs>
</ds:datastoreItem>
</file>

<file path=customXml/itemProps2.xml><?xml version="1.0" encoding="utf-8"?>
<ds:datastoreItem xmlns:ds="http://schemas.openxmlformats.org/officeDocument/2006/customXml" ds:itemID="{C0165E05-8B88-4CBA-A396-3DDF3D1639CD}">
  <ds:schemaRefs>
    <ds:schemaRef ds:uri="http://schemas.microsoft.com/sharepoint/v3/contenttype/forms"/>
  </ds:schemaRefs>
</ds:datastoreItem>
</file>

<file path=customXml/itemProps3.xml><?xml version="1.0" encoding="utf-8"?>
<ds:datastoreItem xmlns:ds="http://schemas.openxmlformats.org/officeDocument/2006/customXml" ds:itemID="{92AC3944-01AB-4FC2-8A13-B9284134E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9EAD62-C30E-4656-92C8-64AC3EED7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52B07556</Template>
  <TotalTime>1</TotalTime>
  <Pages>4</Pages>
  <Words>1631</Words>
  <Characters>9300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Member report template</vt:lpstr>
    </vt:vector>
  </TitlesOfParts>
  <Company/>
  <LinksUpToDate>false</LinksUpToDate>
  <CharactersWithSpaces>10910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report template</dc:title>
  <dc:subject/>
  <dc:creator>Frances Marshall</dc:creator>
  <cp:keywords/>
  <dc:description/>
  <cp:lastModifiedBy>Joseph Ling</cp:lastModifiedBy>
  <cp:revision>3</cp:revision>
  <dcterms:created xsi:type="dcterms:W3CDTF">2017-02-28T11:45:00Z</dcterms:created>
  <dcterms:modified xsi:type="dcterms:W3CDTF">2017-02-28T15:03:00Z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0x010100572312C1426F124A968684E7578A94F6</vt:lpwstr>
  </property>
</Properties>
</file>